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F18F6C" w14:textId="7F90B55F" w:rsidR="009D276F" w:rsidRPr="009D276F" w:rsidRDefault="009D276F" w:rsidP="009D276F">
      <w:pPr>
        <w:pStyle w:val="Nagwek1"/>
        <w:spacing w:before="0"/>
        <w:jc w:val="center"/>
        <w:rPr>
          <w:rFonts w:ascii="Helvetica" w:hAnsi="Helvetica"/>
        </w:rPr>
      </w:pPr>
      <w:r w:rsidRPr="009D276F">
        <w:rPr>
          <w:rFonts w:ascii="Helvetica" w:hAnsi="Helvetica"/>
        </w:rPr>
        <w:t>Schemat oceny decyzji administracyjnej</w:t>
      </w:r>
    </w:p>
    <w:p w14:paraId="0992D774" w14:textId="77777777" w:rsidR="009D276F" w:rsidRPr="009D276F" w:rsidRDefault="009D276F" w:rsidP="009D276F">
      <w:pPr>
        <w:spacing w:before="0" w:after="0"/>
        <w:jc w:val="center"/>
        <w:rPr>
          <w:rFonts w:ascii="Helvetica" w:hAnsi="Helvetica"/>
          <w:b/>
          <w:bCs/>
          <w:color w:val="000000" w:themeColor="text1"/>
          <w:sz w:val="22"/>
          <w:szCs w:val="22"/>
        </w:rPr>
      </w:pPr>
    </w:p>
    <w:p w14:paraId="3855399D" w14:textId="54C8B5C1" w:rsidR="009D276F" w:rsidRPr="009D276F" w:rsidRDefault="009D276F" w:rsidP="009D276F">
      <w:pPr>
        <w:spacing w:before="0" w:after="0"/>
        <w:rPr>
          <w:rFonts w:ascii="Helvetica" w:hAnsi="Helvetica"/>
          <w:b/>
          <w:bCs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Elementy schematu - dot. decyzji administracyjnej (lub postanowienia)]:</w:t>
      </w:r>
    </w:p>
    <w:p w14:paraId="38901C8B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1)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ustalenie charakteru postępowania, w którym zostało wydane rozstrzygnięcie;</w:t>
      </w:r>
    </w:p>
    <w:p w14:paraId="0BA3D88A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2)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potwierdzenie istnienia przedmiotu zaskarżenia; </w:t>
      </w:r>
    </w:p>
    <w:p w14:paraId="27B6EA05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3)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ustalenie, czy istnieją wady stanowiące podstawę stwierdzenia nieważności;</w:t>
      </w:r>
    </w:p>
    <w:p w14:paraId="2F3C8B06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4)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ustalenie, czy istnieją wady uzasadniające wznowienie postępowania;</w:t>
      </w:r>
    </w:p>
    <w:p w14:paraId="40AE2A6A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5)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ustalenie, czy doszło do naruszenia zasad ogólnych postępowania;</w:t>
      </w:r>
    </w:p>
    <w:p w14:paraId="749DF80D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6)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ustalenie czy doszło do innych naruszeń prawa na etapie: </w:t>
      </w:r>
    </w:p>
    <w:p w14:paraId="6B41F8DD" w14:textId="77777777" w:rsidR="009D276F" w:rsidRPr="009D276F" w:rsidRDefault="009D276F" w:rsidP="009D276F">
      <w:pPr>
        <w:spacing w:before="0" w:after="0"/>
        <w:ind w:left="284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a)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wszczęcia postępowania, </w:t>
      </w:r>
    </w:p>
    <w:p w14:paraId="5CF536F0" w14:textId="77777777" w:rsidR="009D276F" w:rsidRPr="009D276F" w:rsidRDefault="009D276F" w:rsidP="009D276F">
      <w:pPr>
        <w:spacing w:before="0" w:after="0"/>
        <w:ind w:left="284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b)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postępowania wyjaśniającego;</w:t>
      </w:r>
    </w:p>
    <w:p w14:paraId="46496A62" w14:textId="77777777" w:rsidR="009D276F" w:rsidRPr="009D276F" w:rsidRDefault="009D276F" w:rsidP="009D276F">
      <w:pPr>
        <w:spacing w:before="0" w:after="0"/>
        <w:ind w:left="284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c)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wydawania rozstrzygnięcia;</w:t>
      </w:r>
    </w:p>
    <w:p w14:paraId="0982F93D" w14:textId="77777777" w:rsidR="009D276F" w:rsidRPr="009D276F" w:rsidRDefault="009D276F" w:rsidP="009D276F">
      <w:pPr>
        <w:spacing w:before="0" w:after="0"/>
        <w:ind w:left="284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d)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wejścia do obrotu prawnego rozstrzygnięcia;</w:t>
      </w:r>
    </w:p>
    <w:p w14:paraId="00A03F27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7)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ustalenie czy nie istnieją negatywne przesłanki do wszczęcia postępowania na skutek wniesionego środka zaskarżenia. </w:t>
      </w:r>
    </w:p>
    <w:p w14:paraId="7F5F9B88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</w:p>
    <w:p w14:paraId="11DEB9CA" w14:textId="2FFD3570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 xml:space="preserve">Rys. nr. </w:t>
      </w: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1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pt. Elementy Schematu.</w:t>
      </w:r>
    </w:p>
    <w:p w14:paraId="288A428A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37"/>
        <w:gridCol w:w="6592"/>
        <w:gridCol w:w="750"/>
        <w:gridCol w:w="1083"/>
      </w:tblGrid>
      <w:tr w:rsidR="009D276F" w:rsidRPr="009D276F" w14:paraId="74BE1BDA" w14:textId="77777777" w:rsidTr="006633D5">
        <w:trPr>
          <w:trHeight w:val="212"/>
        </w:trPr>
        <w:tc>
          <w:tcPr>
            <w:tcW w:w="7979" w:type="dxa"/>
            <w:gridSpan w:val="3"/>
            <w:shd w:val="clear" w:color="auto" w:fill="D9D9D9" w:themeFill="background1" w:themeFillShade="D9"/>
          </w:tcPr>
          <w:p w14:paraId="5B277EE6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 xml:space="preserve">ELEMENTY SCHEMATU </w:t>
            </w:r>
          </w:p>
          <w:p w14:paraId="153C246F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(DECYZJA ADMINISTRACYJNA)</w:t>
            </w:r>
          </w:p>
        </w:tc>
        <w:tc>
          <w:tcPr>
            <w:tcW w:w="1083" w:type="dxa"/>
            <w:shd w:val="clear" w:color="auto" w:fill="D9D9D9" w:themeFill="background1" w:themeFillShade="D9"/>
          </w:tcPr>
          <w:p w14:paraId="3F4E78DC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OCENA</w:t>
            </w:r>
          </w:p>
          <w:p w14:paraId="407F7526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444CE679" wp14:editId="55329BC7">
                  <wp:extent cx="248268" cy="248268"/>
                  <wp:effectExtent l="0" t="0" r="0" b="0"/>
                  <wp:docPr id="338439324" name="Grafika 3" descr="Pole wyboru z krzyżykiem z wypełnieniem pełny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439324" name="Grafika 338439324" descr="Pole wyboru z krzyżykiem z wypełnieniem pełnym"/>
                          <pic:cNvPicPr/>
                        </pic:nvPicPr>
                        <pic:blipFill>
                          <a:blip r:embed="rId4">
                            <a:extLst>
                              <a:ext uri="{96DAC541-7B7A-43D3-8B79-37D633B846F1}">
                                <asvg:svgBlip xmlns:asvg="http://schemas.microsoft.com/office/drawing/2016/SVG/main" r:embed="rId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312911" cy="3129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9D276F">
              <w:rPr>
                <w:rFonts w:ascii="Helvetica" w:hAnsi="Helvetica"/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18F09BF" wp14:editId="37759FCE">
                  <wp:extent cx="248281" cy="248281"/>
                  <wp:effectExtent l="0" t="0" r="0" b="0"/>
                  <wp:docPr id="1331322098" name="Grafika 2" descr="Zaznaczone pole wyboru z wypełnieniem pełny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1322098" name="Grafika 1331322098" descr="Zaznaczone pole wyboru z wypełnieniem pełnym"/>
                          <pic:cNvPicPr/>
                        </pic:nvPicPr>
                        <pic:blipFill>
                          <a:blip r:embed="rId6">
                            <a:extLst>
                              <a:ext uri="{96DAC541-7B7A-43D3-8B79-37D633B846F1}">
                                <asvg:svgBlip xmlns:asvg="http://schemas.microsoft.com/office/drawing/2016/SVG/main" r:embed="rId7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3260" cy="273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D276F" w:rsidRPr="009D276F" w14:paraId="75843633" w14:textId="77777777" w:rsidTr="006633D5">
        <w:trPr>
          <w:trHeight w:val="358"/>
        </w:trPr>
        <w:tc>
          <w:tcPr>
            <w:tcW w:w="637" w:type="dxa"/>
            <w:vMerge w:val="restart"/>
            <w:shd w:val="clear" w:color="auto" w:fill="F2F2F2" w:themeFill="background1" w:themeFillShade="F2"/>
          </w:tcPr>
          <w:p w14:paraId="3C3F6D5C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I.</w:t>
            </w:r>
          </w:p>
        </w:tc>
        <w:tc>
          <w:tcPr>
            <w:tcW w:w="7342" w:type="dxa"/>
            <w:gridSpan w:val="2"/>
            <w:shd w:val="clear" w:color="auto" w:fill="F2F2F2" w:themeFill="background1" w:themeFillShade="F2"/>
          </w:tcPr>
          <w:p w14:paraId="6853434D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Ustalenie czy rozstrzygnięcie zapadło w postępowaniu administracyjnym jurysdykcyjnym, a jeżeli tak to w jakim zakresie postępowanie regulowane jest przepisami k.p.a.?</w:t>
            </w:r>
          </w:p>
        </w:tc>
        <w:tc>
          <w:tcPr>
            <w:tcW w:w="1083" w:type="dxa"/>
            <w:vMerge w:val="restart"/>
            <w:shd w:val="clear" w:color="auto" w:fill="FFFFFF" w:themeFill="background1"/>
          </w:tcPr>
          <w:p w14:paraId="5D49DBDB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</w:tr>
      <w:tr w:rsidR="009D276F" w:rsidRPr="009D276F" w14:paraId="72E4B490" w14:textId="77777777" w:rsidTr="006633D5">
        <w:trPr>
          <w:trHeight w:val="358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6C2033F7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2A768B16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1) Czy rozstrzygnięcie zapadło w postępowaniu administracyjnym jurysdykcyjnym, o którym mowa w art. 1 pkt 1 i 2 k.p.a.)</w:t>
            </w:r>
          </w:p>
        </w:tc>
        <w:tc>
          <w:tcPr>
            <w:tcW w:w="750" w:type="dxa"/>
            <w:shd w:val="clear" w:color="auto" w:fill="FFFFFF" w:themeFill="background1"/>
          </w:tcPr>
          <w:p w14:paraId="20C28451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  <w:shd w:val="clear" w:color="auto" w:fill="FFFFFF" w:themeFill="background1"/>
          </w:tcPr>
          <w:p w14:paraId="615AC92D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61B24541" w14:textId="77777777" w:rsidTr="006633D5">
        <w:trPr>
          <w:trHeight w:val="358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4AEFE3C2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70017572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2) Czy jest to postępowanie administracyjne jurysdykcyjne: ogólne [O], szczególne [S] czy wyłączone [W]?</w:t>
            </w:r>
          </w:p>
        </w:tc>
        <w:tc>
          <w:tcPr>
            <w:tcW w:w="750" w:type="dxa"/>
            <w:shd w:val="clear" w:color="auto" w:fill="FFFFFF" w:themeFill="background1"/>
          </w:tcPr>
          <w:p w14:paraId="03038CCE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  <w:shd w:val="clear" w:color="auto" w:fill="FFFFFF" w:themeFill="background1"/>
          </w:tcPr>
          <w:p w14:paraId="3A3D6E03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5B9313CC" w14:textId="77777777" w:rsidTr="006633D5">
        <w:trPr>
          <w:trHeight w:val="203"/>
        </w:trPr>
        <w:tc>
          <w:tcPr>
            <w:tcW w:w="637" w:type="dxa"/>
            <w:vMerge w:val="restart"/>
            <w:shd w:val="clear" w:color="auto" w:fill="F2F2F2" w:themeFill="background1" w:themeFillShade="F2"/>
          </w:tcPr>
          <w:p w14:paraId="0F17A921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II.</w:t>
            </w:r>
          </w:p>
        </w:tc>
        <w:tc>
          <w:tcPr>
            <w:tcW w:w="7342" w:type="dxa"/>
            <w:gridSpan w:val="2"/>
            <w:shd w:val="clear" w:color="auto" w:fill="F2F2F2" w:themeFill="background1" w:themeFillShade="F2"/>
          </w:tcPr>
          <w:p w14:paraId="19C01AA7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Ustalenie czy przedmiot zaskarżenia istnieje.</w:t>
            </w:r>
          </w:p>
          <w:p w14:paraId="79CB2CF7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1083" w:type="dxa"/>
            <w:vMerge w:val="restart"/>
          </w:tcPr>
          <w:p w14:paraId="0288F7B2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</w:tr>
      <w:tr w:rsidR="009D276F" w:rsidRPr="009D276F" w14:paraId="005116C1" w14:textId="77777777" w:rsidTr="006633D5">
        <w:trPr>
          <w:trHeight w:val="203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346B526D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</w:tcPr>
          <w:p w14:paraId="1445FDDC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1) Czy akt zawiera tzw. elementy konstytutywne decyzji administracyjnej? Jeżeli tak to:</w:t>
            </w:r>
          </w:p>
        </w:tc>
        <w:tc>
          <w:tcPr>
            <w:tcW w:w="750" w:type="dxa"/>
          </w:tcPr>
          <w:p w14:paraId="5C28A7BA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1EB77D5D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52AB84F1" w14:textId="77777777" w:rsidTr="006633D5">
        <w:trPr>
          <w:trHeight w:val="203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41E2A5E8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</w:tcPr>
          <w:p w14:paraId="2F038D2D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2)</w:t>
            </w: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Czy decyzja weszła do obrotu prawnego?</w:t>
            </w:r>
          </w:p>
        </w:tc>
        <w:tc>
          <w:tcPr>
            <w:tcW w:w="750" w:type="dxa"/>
          </w:tcPr>
          <w:p w14:paraId="364BBBAF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126BF53B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04DE099C" w14:textId="77777777" w:rsidTr="006633D5">
        <w:trPr>
          <w:trHeight w:val="204"/>
        </w:trPr>
        <w:tc>
          <w:tcPr>
            <w:tcW w:w="637" w:type="dxa"/>
            <w:shd w:val="clear" w:color="auto" w:fill="F2F2F2" w:themeFill="background1" w:themeFillShade="F2"/>
          </w:tcPr>
          <w:p w14:paraId="1917E759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III.</w:t>
            </w:r>
          </w:p>
        </w:tc>
        <w:tc>
          <w:tcPr>
            <w:tcW w:w="7342" w:type="dxa"/>
            <w:gridSpan w:val="2"/>
            <w:shd w:val="clear" w:color="auto" w:fill="F2F2F2" w:themeFill="background1" w:themeFillShade="F2"/>
          </w:tcPr>
          <w:p w14:paraId="4512F3FC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Ustalenie czy nie istnieją negatywne przesłanki do wszczęcia postępowania na skutek wniesionego środka zaskarżenia</w:t>
            </w:r>
          </w:p>
        </w:tc>
        <w:tc>
          <w:tcPr>
            <w:tcW w:w="1083" w:type="dxa"/>
          </w:tcPr>
          <w:p w14:paraId="0326DC4C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</w:tr>
      <w:tr w:rsidR="009D276F" w:rsidRPr="009D276F" w14:paraId="62C7EA99" w14:textId="77777777" w:rsidTr="006633D5">
        <w:trPr>
          <w:trHeight w:val="204"/>
        </w:trPr>
        <w:tc>
          <w:tcPr>
            <w:tcW w:w="637" w:type="dxa"/>
            <w:vMerge w:val="restart"/>
            <w:shd w:val="clear" w:color="auto" w:fill="F2F2F2" w:themeFill="background1" w:themeFillShade="F2"/>
          </w:tcPr>
          <w:p w14:paraId="5523496A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IV.</w:t>
            </w:r>
          </w:p>
        </w:tc>
        <w:tc>
          <w:tcPr>
            <w:tcW w:w="7342" w:type="dxa"/>
            <w:gridSpan w:val="2"/>
            <w:shd w:val="clear" w:color="auto" w:fill="F2F2F2" w:themeFill="background1" w:themeFillShade="F2"/>
          </w:tcPr>
          <w:p w14:paraId="45C44AA2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 xml:space="preserve">Ustalenie, czy istnieją wady stanowiące podstawę stwierdzenia nieważności, tj.: decyzja </w:t>
            </w:r>
          </w:p>
        </w:tc>
        <w:tc>
          <w:tcPr>
            <w:tcW w:w="1083" w:type="dxa"/>
            <w:vMerge w:val="restart"/>
          </w:tcPr>
          <w:p w14:paraId="167006F7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</w:tr>
      <w:tr w:rsidR="009D276F" w:rsidRPr="009D276F" w14:paraId="3886E456" w14:textId="77777777" w:rsidTr="006633D5">
        <w:trPr>
          <w:trHeight w:val="197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2A7FEA9E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08586C9E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 xml:space="preserve">1) wydana została z naruszeniem przepisów o właściwości </w:t>
            </w:r>
          </w:p>
        </w:tc>
        <w:tc>
          <w:tcPr>
            <w:tcW w:w="750" w:type="dxa"/>
            <w:shd w:val="clear" w:color="auto" w:fill="FFFFFF" w:themeFill="background1"/>
          </w:tcPr>
          <w:p w14:paraId="434BAC3C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491B5489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201AA505" w14:textId="77777777" w:rsidTr="006633D5">
        <w:trPr>
          <w:trHeight w:val="329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29F2858B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57F9F837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2) wydana została bez podstawy prawnej lub z rażącym naruszeniem prawa</w:t>
            </w:r>
          </w:p>
        </w:tc>
        <w:tc>
          <w:tcPr>
            <w:tcW w:w="750" w:type="dxa"/>
            <w:shd w:val="clear" w:color="auto" w:fill="FFFFFF" w:themeFill="background1"/>
          </w:tcPr>
          <w:p w14:paraId="2BB44434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3DA939C9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5621A2B7" w14:textId="77777777" w:rsidTr="006633D5">
        <w:trPr>
          <w:trHeight w:val="329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393971DB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</w:tcPr>
          <w:p w14:paraId="6BD1AB82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3) dotyczy sprawy już poprzednio rozstrzygniętej inną decyzją ostateczną albo sprawy, którą załatwiono milcząco</w:t>
            </w:r>
          </w:p>
        </w:tc>
        <w:tc>
          <w:tcPr>
            <w:tcW w:w="750" w:type="dxa"/>
          </w:tcPr>
          <w:p w14:paraId="65AD88F8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4D6C7DC4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47916759" w14:textId="77777777" w:rsidTr="006633D5">
        <w:trPr>
          <w:trHeight w:val="197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636C3081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</w:tcPr>
          <w:p w14:paraId="488D9F87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4) została skierowana do osoby niebędącej stroną w sprawie</w:t>
            </w:r>
          </w:p>
        </w:tc>
        <w:tc>
          <w:tcPr>
            <w:tcW w:w="750" w:type="dxa"/>
          </w:tcPr>
          <w:p w14:paraId="7C2DCFA3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04839901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11955368" w14:textId="77777777" w:rsidTr="006633D5">
        <w:trPr>
          <w:trHeight w:val="197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30368CB6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</w:tcPr>
          <w:p w14:paraId="37C0F19E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5) była niewykonalna w dniu jej wydania i jej niewykonalność ma charakter trwały</w:t>
            </w:r>
          </w:p>
        </w:tc>
        <w:tc>
          <w:tcPr>
            <w:tcW w:w="750" w:type="dxa"/>
          </w:tcPr>
          <w:p w14:paraId="00020987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69342C53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3E54B4AC" w14:textId="77777777" w:rsidTr="006633D5">
        <w:trPr>
          <w:trHeight w:val="197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28AD89A9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</w:tcPr>
          <w:p w14:paraId="2486D9CF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6) w razie jej wykonania wywołałaby czyn zagrożony karą</w:t>
            </w:r>
          </w:p>
        </w:tc>
        <w:tc>
          <w:tcPr>
            <w:tcW w:w="750" w:type="dxa"/>
          </w:tcPr>
          <w:p w14:paraId="645EA3A1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1DB831A1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37DDF9F0" w14:textId="77777777" w:rsidTr="006633D5">
        <w:trPr>
          <w:trHeight w:val="197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52A3F364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</w:tcPr>
          <w:p w14:paraId="76BD130C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7) zawiera wadę powodującą jej nieważność z mocy prawa.</w:t>
            </w:r>
          </w:p>
        </w:tc>
        <w:tc>
          <w:tcPr>
            <w:tcW w:w="750" w:type="dxa"/>
          </w:tcPr>
          <w:p w14:paraId="4E90BDC0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21CC5B79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1F15E939" w14:textId="77777777" w:rsidTr="006633D5">
        <w:trPr>
          <w:trHeight w:val="405"/>
        </w:trPr>
        <w:tc>
          <w:tcPr>
            <w:tcW w:w="637" w:type="dxa"/>
            <w:vMerge w:val="restart"/>
            <w:shd w:val="clear" w:color="auto" w:fill="F2F2F2" w:themeFill="background1" w:themeFillShade="F2"/>
          </w:tcPr>
          <w:p w14:paraId="59CA42E1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V.</w:t>
            </w:r>
          </w:p>
        </w:tc>
        <w:tc>
          <w:tcPr>
            <w:tcW w:w="7342" w:type="dxa"/>
            <w:gridSpan w:val="2"/>
            <w:shd w:val="clear" w:color="auto" w:fill="F2F2F2" w:themeFill="background1" w:themeFillShade="F2"/>
          </w:tcPr>
          <w:p w14:paraId="3F7491A6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Ustalenie, czy istnieją wady uzasadniające wznowienie postępowania</w:t>
            </w:r>
          </w:p>
        </w:tc>
        <w:tc>
          <w:tcPr>
            <w:tcW w:w="1083" w:type="dxa"/>
            <w:vMerge w:val="restart"/>
          </w:tcPr>
          <w:p w14:paraId="760453F6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</w:tr>
      <w:tr w:rsidR="009D276F" w:rsidRPr="009D276F" w14:paraId="43880351" w14:textId="77777777" w:rsidTr="006633D5">
        <w:trPr>
          <w:trHeight w:val="401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26A0F5EB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0806F36B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1) dowody, na których podstawie ustalono istotne dla sprawy okoliczności faktyczne, okazały się fałszywe;</w:t>
            </w:r>
          </w:p>
        </w:tc>
        <w:tc>
          <w:tcPr>
            <w:tcW w:w="750" w:type="dxa"/>
            <w:shd w:val="clear" w:color="auto" w:fill="FFFFFF" w:themeFill="background1"/>
          </w:tcPr>
          <w:p w14:paraId="0DB50872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7511B635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3A1CB0D9" w14:textId="77777777" w:rsidTr="006633D5">
        <w:trPr>
          <w:trHeight w:val="401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53F42233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57D0EE52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2) decyzja wydana została w wyniku przestępstwa;</w:t>
            </w:r>
          </w:p>
        </w:tc>
        <w:tc>
          <w:tcPr>
            <w:tcW w:w="750" w:type="dxa"/>
            <w:shd w:val="clear" w:color="auto" w:fill="FFFFFF" w:themeFill="background1"/>
          </w:tcPr>
          <w:p w14:paraId="055399EF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734506A4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629401AC" w14:textId="77777777" w:rsidTr="006633D5">
        <w:trPr>
          <w:trHeight w:val="401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79B944A1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538ABF7C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3) decyzja wydana została przez pracownika lub organ administracji publicznej, który podlega wyłączeniu stosownie do art. 24, 25 i 27;</w:t>
            </w:r>
          </w:p>
        </w:tc>
        <w:tc>
          <w:tcPr>
            <w:tcW w:w="750" w:type="dxa"/>
            <w:shd w:val="clear" w:color="auto" w:fill="FFFFFF" w:themeFill="background1"/>
          </w:tcPr>
          <w:p w14:paraId="0CE0E093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2A1429CA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0DA6D6F5" w14:textId="77777777" w:rsidTr="006633D5">
        <w:trPr>
          <w:trHeight w:val="401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631114C6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2156E259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4) strona bez własnej winy nie brała udziału w postępowaniu;</w:t>
            </w:r>
          </w:p>
        </w:tc>
        <w:tc>
          <w:tcPr>
            <w:tcW w:w="750" w:type="dxa"/>
            <w:shd w:val="clear" w:color="auto" w:fill="FFFFFF" w:themeFill="background1"/>
          </w:tcPr>
          <w:p w14:paraId="1D3631D2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432215B0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57614F01" w14:textId="77777777" w:rsidTr="006633D5">
        <w:trPr>
          <w:trHeight w:val="401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54913C8F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62CD25B2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5) wyjdą na jaw istotne dla sprawy nowe okoliczności faktyczne lub nowe dowody istniejące w dniu wydania decyzji, nieznane organowi, który wydał decyzję;</w:t>
            </w:r>
          </w:p>
        </w:tc>
        <w:tc>
          <w:tcPr>
            <w:tcW w:w="750" w:type="dxa"/>
            <w:shd w:val="clear" w:color="auto" w:fill="FFFFFF" w:themeFill="background1"/>
          </w:tcPr>
          <w:p w14:paraId="732BFF25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79E81457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364C0784" w14:textId="77777777" w:rsidTr="006633D5">
        <w:trPr>
          <w:trHeight w:val="401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4B20CDE0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4486F586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6) decyzja wydana została bez uzyskania wymaganego prawem stanowiska innego organu;</w:t>
            </w:r>
          </w:p>
        </w:tc>
        <w:tc>
          <w:tcPr>
            <w:tcW w:w="750" w:type="dxa"/>
            <w:shd w:val="clear" w:color="auto" w:fill="FFFFFF" w:themeFill="background1"/>
          </w:tcPr>
          <w:p w14:paraId="0885E5C8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13CCE3CE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53610E50" w14:textId="77777777" w:rsidTr="006633D5">
        <w:trPr>
          <w:trHeight w:val="401"/>
        </w:trPr>
        <w:tc>
          <w:tcPr>
            <w:tcW w:w="637" w:type="dxa"/>
            <w:vMerge/>
            <w:shd w:val="clear" w:color="auto" w:fill="F2F2F2" w:themeFill="background1" w:themeFillShade="F2"/>
          </w:tcPr>
          <w:p w14:paraId="1DC916D7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467DFF4F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7) zagadnienie wstępne zostało rozstrzygnięte przez właściwy organ lub sąd odmiennie od oceny przyjętej przy wydaniu decyzji (art. 100 § 2);</w:t>
            </w:r>
          </w:p>
        </w:tc>
        <w:tc>
          <w:tcPr>
            <w:tcW w:w="750" w:type="dxa"/>
            <w:shd w:val="clear" w:color="auto" w:fill="FFFFFF" w:themeFill="background1"/>
          </w:tcPr>
          <w:p w14:paraId="6AB8654B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3F12E828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5959B480" w14:textId="77777777" w:rsidTr="006633D5">
        <w:trPr>
          <w:trHeight w:val="401"/>
        </w:trPr>
        <w:tc>
          <w:tcPr>
            <w:tcW w:w="637" w:type="dxa"/>
            <w:shd w:val="clear" w:color="auto" w:fill="F2F2F2" w:themeFill="background1" w:themeFillShade="F2"/>
          </w:tcPr>
          <w:p w14:paraId="4D6EED5A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33946AD1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8) decyzja została wydana w oparciu o inną decyzję lub orzeczenie sądu, które zostało następnie uchylone lub zmienione</w:t>
            </w:r>
          </w:p>
        </w:tc>
        <w:tc>
          <w:tcPr>
            <w:tcW w:w="750" w:type="dxa"/>
            <w:shd w:val="clear" w:color="auto" w:fill="FFFFFF" w:themeFill="background1"/>
          </w:tcPr>
          <w:p w14:paraId="5FD29496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2C9B3554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7B44F451" w14:textId="77777777" w:rsidTr="006633D5">
        <w:trPr>
          <w:trHeight w:val="401"/>
        </w:trPr>
        <w:tc>
          <w:tcPr>
            <w:tcW w:w="637" w:type="dxa"/>
            <w:shd w:val="clear" w:color="auto" w:fill="F2F2F2" w:themeFill="background1" w:themeFillShade="F2"/>
          </w:tcPr>
          <w:p w14:paraId="616E7C4C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66A35BBB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9) Trybunał Konstytucyjny orzekł o niezgodności aktu normatywnego z Konstytucją, umową międzynarodową lub z ustawą, na podstawie którego została wydana decyzja.</w:t>
            </w:r>
          </w:p>
        </w:tc>
        <w:tc>
          <w:tcPr>
            <w:tcW w:w="750" w:type="dxa"/>
            <w:shd w:val="clear" w:color="auto" w:fill="FFFFFF" w:themeFill="background1"/>
          </w:tcPr>
          <w:p w14:paraId="2402F2E5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202D0C7E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728754B2" w14:textId="77777777" w:rsidTr="006633D5">
        <w:trPr>
          <w:trHeight w:val="401"/>
        </w:trPr>
        <w:tc>
          <w:tcPr>
            <w:tcW w:w="637" w:type="dxa"/>
            <w:shd w:val="clear" w:color="auto" w:fill="F2F2F2" w:themeFill="background1" w:themeFillShade="F2"/>
          </w:tcPr>
          <w:p w14:paraId="1F5DD09F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6D192DB7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10) zostało wydane orzeczenie Trybunału Sprawiedliwości Unii Europejskiej, które ma wpływ na treść wydanej decyzji.</w:t>
            </w:r>
          </w:p>
        </w:tc>
        <w:tc>
          <w:tcPr>
            <w:tcW w:w="750" w:type="dxa"/>
            <w:shd w:val="clear" w:color="auto" w:fill="FFFFFF" w:themeFill="background1"/>
          </w:tcPr>
          <w:p w14:paraId="79FBAA08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46B6EBF8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02E6680C" w14:textId="77777777" w:rsidTr="006633D5">
        <w:trPr>
          <w:trHeight w:val="401"/>
        </w:trPr>
        <w:tc>
          <w:tcPr>
            <w:tcW w:w="637" w:type="dxa"/>
            <w:shd w:val="clear" w:color="auto" w:fill="F2F2F2" w:themeFill="background1" w:themeFillShade="F2"/>
          </w:tcPr>
          <w:p w14:paraId="4CC91511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593A164D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11) zostało wydane orzeczenie sądu stwierdzające naruszenie zasady równego traktowania, zgodnie z ustawą z dnia 3 grudnia 2010 r. o wdrożeniu niektórych przepisów Unii Europejskiej w zakresie równego traktowania (Dz. U. z 2023 r. poz. 970), jeżeli naruszenie tej zasady miało wpływ na rozstrzygnięcie sprawy zakończonej decyzją ostateczną.</w:t>
            </w:r>
          </w:p>
        </w:tc>
        <w:tc>
          <w:tcPr>
            <w:tcW w:w="750" w:type="dxa"/>
            <w:shd w:val="clear" w:color="auto" w:fill="FFFFFF" w:themeFill="background1"/>
          </w:tcPr>
          <w:p w14:paraId="24765BBF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6BAA64B5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0DCD4159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5C32443D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VI.</w:t>
            </w:r>
          </w:p>
        </w:tc>
        <w:tc>
          <w:tcPr>
            <w:tcW w:w="7342" w:type="dxa"/>
            <w:gridSpan w:val="2"/>
            <w:shd w:val="clear" w:color="auto" w:fill="F2F2F2" w:themeFill="background1" w:themeFillShade="F2"/>
          </w:tcPr>
          <w:p w14:paraId="0F70B4A1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Ustalenie, czy doszło do naruszenia zasad ogólnych postępowania</w:t>
            </w:r>
          </w:p>
        </w:tc>
        <w:tc>
          <w:tcPr>
            <w:tcW w:w="1083" w:type="dxa"/>
            <w:vMerge w:val="restart"/>
          </w:tcPr>
          <w:p w14:paraId="71CE2E25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</w:tr>
      <w:tr w:rsidR="009D276F" w:rsidRPr="009D276F" w14:paraId="48C4B280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1650A935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2F7820BC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 xml:space="preserve">1) zasada legalizmu </w:t>
            </w:r>
          </w:p>
        </w:tc>
        <w:tc>
          <w:tcPr>
            <w:tcW w:w="750" w:type="dxa"/>
            <w:shd w:val="clear" w:color="auto" w:fill="FFFFFF" w:themeFill="background1"/>
          </w:tcPr>
          <w:p w14:paraId="2E8C94E7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62393C21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4F293EF7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3D00C3A6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615E8767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 xml:space="preserve">2) zasada prawdy obiektywnej </w:t>
            </w:r>
          </w:p>
        </w:tc>
        <w:tc>
          <w:tcPr>
            <w:tcW w:w="750" w:type="dxa"/>
            <w:shd w:val="clear" w:color="auto" w:fill="FFFFFF" w:themeFill="background1"/>
          </w:tcPr>
          <w:p w14:paraId="027D5AEE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1E160E24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67D44325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7C6169EF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4029FEB8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 xml:space="preserve">3) zasada uwzględniania interesu społecznego i słusznego interesu obywateli </w:t>
            </w:r>
          </w:p>
        </w:tc>
        <w:tc>
          <w:tcPr>
            <w:tcW w:w="750" w:type="dxa"/>
            <w:shd w:val="clear" w:color="auto" w:fill="FFFFFF" w:themeFill="background1"/>
          </w:tcPr>
          <w:p w14:paraId="261DAD4A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5B8DBE8E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669B345F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5520E26B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699B0600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4) zasada przyjaznej interpretacji przepisów</w:t>
            </w:r>
          </w:p>
        </w:tc>
        <w:tc>
          <w:tcPr>
            <w:tcW w:w="750" w:type="dxa"/>
            <w:shd w:val="clear" w:color="auto" w:fill="FFFFFF" w:themeFill="background1"/>
          </w:tcPr>
          <w:p w14:paraId="7B4213C0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30FCA037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06B21E7D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6B350AE8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6CF063C9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5) zasada budzenia zaufania uczestników postępowania do władzy publicznej</w:t>
            </w:r>
          </w:p>
        </w:tc>
        <w:tc>
          <w:tcPr>
            <w:tcW w:w="750" w:type="dxa"/>
            <w:shd w:val="clear" w:color="auto" w:fill="FFFFFF" w:themeFill="background1"/>
          </w:tcPr>
          <w:p w14:paraId="5D30F973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3ADE8C1E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45E3F4C4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7A484EBD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4301A4BE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6)</w:t>
            </w: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zasada proporcjonalności</w:t>
            </w:r>
          </w:p>
        </w:tc>
        <w:tc>
          <w:tcPr>
            <w:tcW w:w="750" w:type="dxa"/>
            <w:shd w:val="clear" w:color="auto" w:fill="FFFFFF" w:themeFill="background1"/>
          </w:tcPr>
          <w:p w14:paraId="3119DF12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488F8B68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3470109C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5531D0D4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732535BF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7) zasada bezstronności</w:t>
            </w:r>
          </w:p>
        </w:tc>
        <w:tc>
          <w:tcPr>
            <w:tcW w:w="750" w:type="dxa"/>
            <w:shd w:val="clear" w:color="auto" w:fill="FFFFFF" w:themeFill="background1"/>
          </w:tcPr>
          <w:p w14:paraId="758BCD54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0F5113C4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10E1DC77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4A39F24F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2C119F09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8) zasada równego traktowania</w:t>
            </w:r>
          </w:p>
        </w:tc>
        <w:tc>
          <w:tcPr>
            <w:tcW w:w="750" w:type="dxa"/>
            <w:shd w:val="clear" w:color="auto" w:fill="FFFFFF" w:themeFill="background1"/>
          </w:tcPr>
          <w:p w14:paraId="3B0EEA0C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463596AA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25414116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43D37980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22E90D27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9) zasada nieodstępowania od utrwalonej praktyki rozstrzygania spraw w takim samym stanie faktycznym i prawnym</w:t>
            </w:r>
          </w:p>
        </w:tc>
        <w:tc>
          <w:tcPr>
            <w:tcW w:w="750" w:type="dxa"/>
            <w:shd w:val="clear" w:color="auto" w:fill="FFFFFF" w:themeFill="background1"/>
          </w:tcPr>
          <w:p w14:paraId="61AA48FD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5CBEF81C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2923E77C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536AA695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3D8587CF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10) zasada informowania</w:t>
            </w:r>
          </w:p>
        </w:tc>
        <w:tc>
          <w:tcPr>
            <w:tcW w:w="750" w:type="dxa"/>
            <w:shd w:val="clear" w:color="auto" w:fill="FFFFFF" w:themeFill="background1"/>
          </w:tcPr>
          <w:p w14:paraId="46B7D655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15A65552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6A24CF73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61743877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42A724D1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11) zasada czynnego udziału strony w postępowaniu</w:t>
            </w:r>
          </w:p>
        </w:tc>
        <w:tc>
          <w:tcPr>
            <w:tcW w:w="750" w:type="dxa"/>
            <w:shd w:val="clear" w:color="auto" w:fill="FFFFFF" w:themeFill="background1"/>
          </w:tcPr>
          <w:p w14:paraId="213C3BDF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1ED19A9A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325FC47C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21374FE3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62007A86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 xml:space="preserve">12) zasada przekonywania </w:t>
            </w:r>
          </w:p>
        </w:tc>
        <w:tc>
          <w:tcPr>
            <w:tcW w:w="750" w:type="dxa"/>
            <w:shd w:val="clear" w:color="auto" w:fill="FFFFFF" w:themeFill="background1"/>
          </w:tcPr>
          <w:p w14:paraId="47695653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2F217A5B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12CD13F1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1F019135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1A2C4EA9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 xml:space="preserve">13) zasada szybkości i prostoty postępowania </w:t>
            </w:r>
          </w:p>
        </w:tc>
        <w:tc>
          <w:tcPr>
            <w:tcW w:w="750" w:type="dxa"/>
            <w:shd w:val="clear" w:color="auto" w:fill="FFFFFF" w:themeFill="background1"/>
          </w:tcPr>
          <w:p w14:paraId="30D269E9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1335D22F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71022551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6082C73C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14223BF7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 xml:space="preserve">14) zasada pisemności </w:t>
            </w:r>
          </w:p>
        </w:tc>
        <w:tc>
          <w:tcPr>
            <w:tcW w:w="750" w:type="dxa"/>
            <w:shd w:val="clear" w:color="auto" w:fill="FFFFFF" w:themeFill="background1"/>
          </w:tcPr>
          <w:p w14:paraId="00632D2E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77C8E4E5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4142BD8B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7A5E93E0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195BF788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15) zasada dwuinstancyjności postępowania</w:t>
            </w:r>
          </w:p>
        </w:tc>
        <w:tc>
          <w:tcPr>
            <w:tcW w:w="750" w:type="dxa"/>
            <w:shd w:val="clear" w:color="auto" w:fill="FFFFFF" w:themeFill="background1"/>
          </w:tcPr>
          <w:p w14:paraId="7833D952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7825127A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4EB1CC92" w14:textId="77777777" w:rsidTr="006633D5">
        <w:tc>
          <w:tcPr>
            <w:tcW w:w="637" w:type="dxa"/>
            <w:shd w:val="clear" w:color="auto" w:fill="F2F2F2" w:themeFill="background1" w:themeFillShade="F2"/>
          </w:tcPr>
          <w:p w14:paraId="386E54A3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  <w:shd w:val="clear" w:color="auto" w:fill="FFFFFF" w:themeFill="background1"/>
          </w:tcPr>
          <w:p w14:paraId="7BB1D491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 xml:space="preserve">16) zasada trwałości decyzji ostatecznych </w:t>
            </w:r>
          </w:p>
        </w:tc>
        <w:tc>
          <w:tcPr>
            <w:tcW w:w="750" w:type="dxa"/>
            <w:shd w:val="clear" w:color="auto" w:fill="FFFFFF" w:themeFill="background1"/>
          </w:tcPr>
          <w:p w14:paraId="7034B955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31B6D90E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2DFD0B11" w14:textId="77777777" w:rsidTr="006633D5">
        <w:trPr>
          <w:trHeight w:val="155"/>
        </w:trPr>
        <w:tc>
          <w:tcPr>
            <w:tcW w:w="637" w:type="dxa"/>
            <w:vMerge w:val="restart"/>
            <w:shd w:val="clear" w:color="auto" w:fill="F2F2F2" w:themeFill="background1" w:themeFillShade="F2"/>
          </w:tcPr>
          <w:p w14:paraId="1601D8C1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VII.</w:t>
            </w:r>
          </w:p>
        </w:tc>
        <w:tc>
          <w:tcPr>
            <w:tcW w:w="7342" w:type="dxa"/>
            <w:gridSpan w:val="2"/>
            <w:shd w:val="clear" w:color="auto" w:fill="F2F2F2" w:themeFill="background1" w:themeFillShade="F2"/>
          </w:tcPr>
          <w:p w14:paraId="5FE5242D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 xml:space="preserve">Ustalenie czy doszło do innych naruszeń prawa na etapie: </w:t>
            </w:r>
          </w:p>
        </w:tc>
        <w:tc>
          <w:tcPr>
            <w:tcW w:w="1083" w:type="dxa"/>
            <w:vMerge w:val="restart"/>
          </w:tcPr>
          <w:p w14:paraId="74A9B7CC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</w:tr>
      <w:tr w:rsidR="009D276F" w:rsidRPr="009D276F" w14:paraId="2D6D083F" w14:textId="77777777" w:rsidTr="006633D5">
        <w:trPr>
          <w:trHeight w:val="155"/>
        </w:trPr>
        <w:tc>
          <w:tcPr>
            <w:tcW w:w="637" w:type="dxa"/>
            <w:vMerge/>
            <w:shd w:val="clear" w:color="auto" w:fill="D9D9D9" w:themeFill="background1" w:themeFillShade="D9"/>
          </w:tcPr>
          <w:p w14:paraId="5F9E4BB0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</w:tcPr>
          <w:p w14:paraId="56CA87D6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1) wszczęcia postępowania</w:t>
            </w:r>
          </w:p>
        </w:tc>
        <w:tc>
          <w:tcPr>
            <w:tcW w:w="750" w:type="dxa"/>
          </w:tcPr>
          <w:p w14:paraId="32CA01F9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0ABA7026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10680EF2" w14:textId="77777777" w:rsidTr="006633D5">
        <w:trPr>
          <w:trHeight w:val="191"/>
        </w:trPr>
        <w:tc>
          <w:tcPr>
            <w:tcW w:w="637" w:type="dxa"/>
            <w:vMerge/>
            <w:shd w:val="clear" w:color="auto" w:fill="D9D9D9" w:themeFill="background1" w:themeFillShade="D9"/>
          </w:tcPr>
          <w:p w14:paraId="4AE21355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</w:tcPr>
          <w:p w14:paraId="5E0C716E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2) postępowania wyjaśniającego</w:t>
            </w:r>
          </w:p>
        </w:tc>
        <w:tc>
          <w:tcPr>
            <w:tcW w:w="750" w:type="dxa"/>
          </w:tcPr>
          <w:p w14:paraId="1E6862BA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25A04447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02E0569A" w14:textId="77777777" w:rsidTr="006633D5">
        <w:trPr>
          <w:trHeight w:val="191"/>
        </w:trPr>
        <w:tc>
          <w:tcPr>
            <w:tcW w:w="637" w:type="dxa"/>
            <w:vMerge/>
            <w:shd w:val="clear" w:color="auto" w:fill="D9D9D9" w:themeFill="background1" w:themeFillShade="D9"/>
          </w:tcPr>
          <w:p w14:paraId="03120168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</w:tcPr>
          <w:p w14:paraId="64CC9BB1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3) wydawania rozstrzygnięcia</w:t>
            </w:r>
          </w:p>
        </w:tc>
        <w:tc>
          <w:tcPr>
            <w:tcW w:w="750" w:type="dxa"/>
          </w:tcPr>
          <w:p w14:paraId="187DB5E3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29B7951E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  <w:tr w:rsidR="009D276F" w:rsidRPr="009D276F" w14:paraId="48DB7466" w14:textId="77777777" w:rsidTr="006633D5">
        <w:trPr>
          <w:trHeight w:val="191"/>
        </w:trPr>
        <w:tc>
          <w:tcPr>
            <w:tcW w:w="637" w:type="dxa"/>
            <w:vMerge/>
            <w:shd w:val="clear" w:color="auto" w:fill="D9D9D9" w:themeFill="background1" w:themeFillShade="D9"/>
          </w:tcPr>
          <w:p w14:paraId="7366F5FC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  <w:tc>
          <w:tcPr>
            <w:tcW w:w="6592" w:type="dxa"/>
          </w:tcPr>
          <w:p w14:paraId="4FF7AC8D" w14:textId="77777777" w:rsidR="009D276F" w:rsidRPr="009D276F" w:rsidRDefault="009D276F" w:rsidP="009D276F">
            <w:pPr>
              <w:spacing w:before="0" w:after="0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color w:val="000000" w:themeColor="text1"/>
                <w:sz w:val="22"/>
                <w:szCs w:val="22"/>
              </w:rPr>
              <w:t>4) wejścia do obrotu prawnego rozstrzygnięcia</w:t>
            </w:r>
          </w:p>
        </w:tc>
        <w:tc>
          <w:tcPr>
            <w:tcW w:w="750" w:type="dxa"/>
          </w:tcPr>
          <w:p w14:paraId="6BA36C1F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  <w:r w:rsidRPr="009D276F"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  <w:t></w:t>
            </w:r>
          </w:p>
        </w:tc>
        <w:tc>
          <w:tcPr>
            <w:tcW w:w="1083" w:type="dxa"/>
            <w:vMerge/>
          </w:tcPr>
          <w:p w14:paraId="7777C55D" w14:textId="77777777" w:rsidR="009D276F" w:rsidRPr="009D276F" w:rsidRDefault="009D276F" w:rsidP="009D276F">
            <w:pPr>
              <w:spacing w:before="0" w:after="0"/>
              <w:jc w:val="center"/>
              <w:rPr>
                <w:rFonts w:ascii="Helvetica" w:hAnsi="Helvetica"/>
                <w:b/>
                <w:bCs/>
                <w:color w:val="000000" w:themeColor="text1"/>
                <w:sz w:val="22"/>
                <w:szCs w:val="22"/>
              </w:rPr>
            </w:pPr>
          </w:p>
        </w:tc>
      </w:tr>
    </w:tbl>
    <w:p w14:paraId="260D5163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Źródło: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</w:t>
      </w:r>
      <w:r w:rsidRPr="009D276F">
        <w:rPr>
          <w:rFonts w:ascii="Helvetica" w:hAnsi="Helvetica"/>
          <w:i/>
          <w:iCs/>
          <w:color w:val="000000" w:themeColor="text1"/>
          <w:sz w:val="22"/>
          <w:szCs w:val="22"/>
        </w:rPr>
        <w:t>opracowanie własne.</w:t>
      </w:r>
    </w:p>
    <w:p w14:paraId="67F7FEC1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</w:p>
    <w:p w14:paraId="2FF5305E" w14:textId="77777777" w:rsidR="009D276F" w:rsidRPr="009D276F" w:rsidRDefault="009D276F" w:rsidP="009D276F">
      <w:pPr>
        <w:spacing w:before="0" w:after="0"/>
        <w:jc w:val="both"/>
        <w:rPr>
          <w:rFonts w:ascii="Helvetica" w:hAnsi="Helvetica"/>
          <w:bCs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Warto przy tym podkreślić, że zastosowane kryteria oceny nie mają charakteru rozłącznego, a krzyżują się ze sobą, stąd jedna i ta sama wada może ujawnić się na kilku etapach analizy.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 </w:t>
      </w:r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Innymi słowy jedno i to samo naruszenie prawa możemy powiązać z więcej niż jedną z wyodrębnionych grup naruszeń prawa np. określone naruszenia zasad ogólnych mogą stanowić jednocześnie wadę kwalifikowaną (stanowiącą podstawę do stwierdzenia nieważności/wznowienia postępowania). Powyższe nie jest jednak wadą przedstawionego schematu a jego zaletą.  Za sprawą tego, że decyzja podlega ocenie kompleksowej, to </w:t>
      </w:r>
      <w:r w:rsidRPr="009D276F">
        <w:rPr>
          <w:rFonts w:ascii="Helvetica" w:hAnsi="Helvetica"/>
          <w:b/>
          <w:color w:val="000000" w:themeColor="text1"/>
          <w:sz w:val="22"/>
          <w:szCs w:val="22"/>
        </w:rPr>
        <w:t>proponowany schemat analizy ułatwia formułowanie tzw. złożonych zarzutów procesowych tj. zarzutów, które będą zbudowane z kilku grup przepisów np. wady kwalifikowanej i naruszonej zasady czy powołaniem innych naruszeń prawa.</w:t>
      </w:r>
    </w:p>
    <w:p w14:paraId="6C4D6275" w14:textId="77777777" w:rsidR="009D276F" w:rsidRPr="009D276F" w:rsidRDefault="009D276F" w:rsidP="009D276F">
      <w:pPr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6FC71A50" w14:textId="6172A31D" w:rsidR="009D276F" w:rsidRPr="009D276F" w:rsidRDefault="009D276F" w:rsidP="009D276F">
      <w:pPr>
        <w:spacing w:before="0" w:after="0"/>
        <w:rPr>
          <w:rFonts w:ascii="Helvetica" w:hAnsi="Helvetica"/>
          <w:bCs/>
          <w:i/>
          <w:i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Rysunek nr </w:t>
      </w:r>
      <w:r w:rsidRPr="009D276F">
        <w:rPr>
          <w:rFonts w:ascii="Helvetica" w:hAnsi="Helvetica"/>
          <w:bCs/>
          <w:color w:val="000000" w:themeColor="text1"/>
          <w:sz w:val="22"/>
          <w:szCs w:val="22"/>
        </w:rPr>
        <w:t>2 -</w:t>
      </w:r>
      <w:r w:rsidRPr="009D276F">
        <w:rPr>
          <w:rFonts w:ascii="Helvetica" w:hAnsi="Helvetica"/>
          <w:bCs/>
          <w:i/>
          <w:iCs/>
          <w:color w:val="000000" w:themeColor="text1"/>
          <w:sz w:val="22"/>
          <w:szCs w:val="22"/>
        </w:rPr>
        <w:t>Tzw. zarzut złożony nr 1</w:t>
      </w:r>
    </w:p>
    <w:p w14:paraId="444959FC" w14:textId="77777777" w:rsidR="009D276F" w:rsidRPr="009D276F" w:rsidRDefault="009D276F" w:rsidP="009D276F">
      <w:pPr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807D40" wp14:editId="7A51CACD">
                <wp:simplePos x="0" y="0"/>
                <wp:positionH relativeFrom="column">
                  <wp:posOffset>3189654</wp:posOffset>
                </wp:positionH>
                <wp:positionV relativeFrom="paragraph">
                  <wp:posOffset>160020</wp:posOffset>
                </wp:positionV>
                <wp:extent cx="1540413" cy="717452"/>
                <wp:effectExtent l="12700" t="12700" r="9525" b="6985"/>
                <wp:wrapNone/>
                <wp:docPr id="1110712067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0413" cy="71745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10A4B7C" w14:textId="77777777" w:rsidR="009D276F" w:rsidRPr="00055BB9" w:rsidRDefault="009D276F" w:rsidP="009D276F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055BB9">
                              <w:rPr>
                                <w:rFonts w:ascii="Arial" w:hAnsi="Arial" w:cs="Arial"/>
                              </w:rPr>
                              <w:t>POWOŁANIE NARUSZONEJ ZASADY OGÓLNEJ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6807D40" id="Prostokąt 2" o:spid="_x0000_s1026" style="position:absolute;margin-left:251.15pt;margin-top:12.6pt;width:121.3pt;height:56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" fillcolor="white [3201]" strokecolor="black [2880]" strokeweight="1.25pt">
                <v:textbox>
                  <w:txbxContent>
                    <w:p w14:paraId="710A4B7C" w14:textId="77777777" w:rsidR="009D276F" w:rsidRPr="00055BB9" w:rsidRDefault="009D276F" w:rsidP="009D276F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055BB9">
                        <w:rPr>
                          <w:rFonts w:ascii="Arial" w:hAnsi="Arial" w:cs="Arial"/>
                        </w:rPr>
                        <w:t>POWOŁANIE NARUSZONEJ ZASADY OGÓLNEJ</w:t>
                      </w:r>
                    </w:p>
                  </w:txbxContent>
                </v:textbox>
              </v:rect>
            </w:pict>
          </mc:Fallback>
        </mc:AlternateContent>
      </w:r>
      <w:r w:rsidRPr="009D276F">
        <w:rPr>
          <w:rFonts w:ascii="Helvetica" w:hAnsi="Helvetica"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DE1069" wp14:editId="1828623D">
                <wp:simplePos x="0" y="0"/>
                <wp:positionH relativeFrom="column">
                  <wp:posOffset>935844</wp:posOffset>
                </wp:positionH>
                <wp:positionV relativeFrom="paragraph">
                  <wp:posOffset>161779</wp:posOffset>
                </wp:positionV>
                <wp:extent cx="1540413" cy="717452"/>
                <wp:effectExtent l="12700" t="12700" r="9525" b="6985"/>
                <wp:wrapNone/>
                <wp:docPr id="2095990066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0413" cy="71745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28F2A89" w14:textId="77777777" w:rsidR="009D276F" w:rsidRPr="00055BB9" w:rsidRDefault="009D276F" w:rsidP="009D276F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055BB9">
                              <w:rPr>
                                <w:rFonts w:ascii="Arial" w:hAnsi="Arial" w:cs="Arial"/>
                              </w:rPr>
                              <w:t>POWOŁANIE WADY KWALIFIKOWANEJ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EDE1069" id="_x0000_s1027" style="position:absolute;margin-left:73.7pt;margin-top:12.75pt;width:121.3pt;height:5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" fillcolor="white [3201]" strokecolor="black [2880]" strokeweight="1.25pt">
                <v:textbox>
                  <w:txbxContent>
                    <w:p w14:paraId="728F2A89" w14:textId="77777777" w:rsidR="009D276F" w:rsidRPr="00055BB9" w:rsidRDefault="009D276F" w:rsidP="009D276F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055BB9">
                        <w:rPr>
                          <w:rFonts w:ascii="Arial" w:hAnsi="Arial" w:cs="Arial"/>
                        </w:rPr>
                        <w:t>POWOŁANIE WADY KWALIFIKOWANEJ</w:t>
                      </w:r>
                    </w:p>
                  </w:txbxContent>
                </v:textbox>
              </v:rect>
            </w:pict>
          </mc:Fallback>
        </mc:AlternateContent>
      </w:r>
    </w:p>
    <w:p w14:paraId="4D0DFA2E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2C438430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4D8CAF" wp14:editId="1A1AFD34">
                <wp:simplePos x="0" y="0"/>
                <wp:positionH relativeFrom="column">
                  <wp:posOffset>2694305</wp:posOffset>
                </wp:positionH>
                <wp:positionV relativeFrom="paragraph">
                  <wp:posOffset>64281</wp:posOffset>
                </wp:positionV>
                <wp:extent cx="295422" cy="260253"/>
                <wp:effectExtent l="0" t="0" r="0" b="0"/>
                <wp:wrapNone/>
                <wp:docPr id="2085619787" name="Plu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422" cy="260253"/>
                        </a:xfrm>
                        <a:prstGeom prst="mathPlus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02B746" id="Plus 4" o:spid="_x0000_s1026" style="position:absolute;margin-left:212.15pt;margin-top:5.05pt;width:23.25pt;height:20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95422,26025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" path="m39158,99521r77947,l117105,34497r61212,l178317,99521r77947,l256264,160732r-77947,l178317,225756r-61212,l117105,160732r-77947,l39158,99521xe" fillcolor="white [3201]" strokecolor="black [2880]" strokeweight="1.25pt">
                <v:path arrowok="t" o:connecttype="custom" o:connectlocs="39158,99521;117105,99521;117105,34497;178317,34497;178317,99521;256264,99521;256264,160732;178317,160732;178317,225756;117105,225756;117105,160732;39158,160732;39158,99521" o:connectangles="0,0,0,0,0,0,0,0,0,0,0,0,0"/>
              </v:shape>
            </w:pict>
          </mc:Fallback>
        </mc:AlternateContent>
      </w:r>
    </w:p>
    <w:p w14:paraId="3532F83C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7F69E49E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1C7484E6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i/>
          <w:i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Źródło: </w:t>
      </w:r>
      <w:r w:rsidRPr="009D276F">
        <w:rPr>
          <w:rFonts w:ascii="Helvetica" w:hAnsi="Helvetica"/>
          <w:bCs/>
          <w:i/>
          <w:iCs/>
          <w:color w:val="000000" w:themeColor="text1"/>
          <w:sz w:val="22"/>
          <w:szCs w:val="22"/>
        </w:rPr>
        <w:t>opracowanie własne.</w:t>
      </w:r>
    </w:p>
    <w:p w14:paraId="3D1B3D01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590013D9" w14:textId="77777777" w:rsidR="009D276F" w:rsidRPr="009D276F" w:rsidRDefault="009D276F" w:rsidP="009D276F">
      <w:pPr>
        <w:spacing w:before="0" w:after="0"/>
        <w:ind w:left="567"/>
        <w:rPr>
          <w:rFonts w:ascii="Helvetica" w:hAnsi="Helvetica"/>
          <w:b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color w:val="000000" w:themeColor="text1"/>
          <w:sz w:val="22"/>
          <w:szCs w:val="22"/>
        </w:rPr>
        <w:t>Przykład:</w:t>
      </w:r>
    </w:p>
    <w:p w14:paraId="7306466B" w14:textId="77777777" w:rsidR="009D276F" w:rsidRPr="009D276F" w:rsidRDefault="009D276F" w:rsidP="009D276F">
      <w:pPr>
        <w:spacing w:before="0" w:after="0"/>
        <w:ind w:left="567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Naruszenie prawa stanowiące podstawę do stwierdzenia nieważności decyzji administracyjnej, tj. naruszenie </w:t>
      </w:r>
      <w:r w:rsidRPr="009D276F">
        <w:rPr>
          <w:rFonts w:ascii="Helvetica" w:hAnsi="Helvetica"/>
          <w:color w:val="000000" w:themeColor="text1"/>
          <w:sz w:val="22"/>
          <w:szCs w:val="22"/>
          <w:u w:color="FF0000"/>
        </w:rPr>
        <w:t>art. 6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k.p.a. poprzez wydanie decyzji administracyjnej bez podstawy prawnej, co powoduje, że wydana decyzja jest obarczona wadą nieważności z </w:t>
      </w:r>
      <w:r w:rsidRPr="009D276F">
        <w:rPr>
          <w:rFonts w:ascii="Helvetica" w:hAnsi="Helvetica"/>
          <w:color w:val="000000" w:themeColor="text1"/>
          <w:sz w:val="22"/>
          <w:szCs w:val="22"/>
          <w:u w:color="FF0000"/>
        </w:rPr>
        <w:t>art. 156 § 1 pkt 2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k.p.a.</w:t>
      </w:r>
    </w:p>
    <w:p w14:paraId="52C867DD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</w:p>
    <w:p w14:paraId="6D455FD3" w14:textId="36FFED6E" w:rsidR="009D276F" w:rsidRPr="009D276F" w:rsidRDefault="009D276F" w:rsidP="009D276F">
      <w:pPr>
        <w:spacing w:before="0" w:after="0"/>
        <w:jc w:val="both"/>
        <w:rPr>
          <w:rFonts w:ascii="Helvetica" w:hAnsi="Helvetica"/>
          <w:bCs/>
          <w:color w:val="000000" w:themeColor="text1"/>
          <w:sz w:val="22"/>
          <w:szCs w:val="22"/>
        </w:rPr>
      </w:pPr>
      <w:r w:rsidRPr="009D276F">
        <w:rPr>
          <w:rFonts w:ascii="Helvetica" w:hAnsi="Helvetica"/>
          <w:color w:val="000000" w:themeColor="text1"/>
          <w:sz w:val="22"/>
          <w:szCs w:val="22"/>
        </w:rPr>
        <w:t>Wyróżnić można dziesiątki kombinacji utworzonych ze zróżnicowanych grup przepisów. Przytaczanie ich wszystkich zdaje się nie być celowe, warto jednak zwrócić uwagę na dwie dodatkowe kombinacje tzw. zarzutów złożonych.</w:t>
      </w:r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 Po pierwsze, </w:t>
      </w:r>
      <w:r w:rsidRPr="009D276F">
        <w:rPr>
          <w:rFonts w:ascii="Helvetica" w:hAnsi="Helvetica"/>
          <w:b/>
          <w:color w:val="000000" w:themeColor="text1"/>
          <w:sz w:val="22"/>
          <w:szCs w:val="22"/>
        </w:rPr>
        <w:t xml:space="preserve">naruszenie zasady ogólnej </w:t>
      </w:r>
      <w:r w:rsidRPr="009D276F">
        <w:rPr>
          <w:rFonts w:ascii="Helvetica" w:hAnsi="Helvetica"/>
          <w:b/>
          <w:color w:val="000000" w:themeColor="text1"/>
          <w:sz w:val="22"/>
          <w:szCs w:val="22"/>
        </w:rPr>
        <w:lastRenderedPageBreak/>
        <w:t>zazwyczaj stanowić będzie konsekwencję naruszenia przepisu szczególnego stanowiącego jej uszczegółowienie</w:t>
      </w:r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 stąd zaprezentowana metodologia ułatwi sformułowanie zarzutu złożonego, a to poprzez jednoczesne powołanie naruszonej zasady ogólnej oraz przepisu, który zasadę tą uszczegółowia a także odwołanie </w:t>
      </w:r>
      <w:proofErr w:type="gramStart"/>
      <w:r w:rsidRPr="009D276F">
        <w:rPr>
          <w:rFonts w:ascii="Helvetica" w:hAnsi="Helvetica"/>
          <w:bCs/>
          <w:color w:val="000000" w:themeColor="text1"/>
          <w:sz w:val="22"/>
          <w:szCs w:val="22"/>
        </w:rPr>
        <w:t>się  do</w:t>
      </w:r>
      <w:proofErr w:type="gramEnd"/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 określonej wady kwalifikowanej</w:t>
      </w:r>
      <w:r>
        <w:rPr>
          <w:rFonts w:ascii="Helvetica" w:hAnsi="Helvetica"/>
          <w:bCs/>
          <w:color w:val="000000" w:themeColor="text1"/>
          <w:sz w:val="22"/>
          <w:szCs w:val="22"/>
        </w:rPr>
        <w:t>.</w:t>
      </w:r>
    </w:p>
    <w:p w14:paraId="197A19FD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</w:p>
    <w:p w14:paraId="7C43CDCE" w14:textId="53DB15BB" w:rsidR="009D276F" w:rsidRPr="009D276F" w:rsidRDefault="009D276F" w:rsidP="009D276F">
      <w:pPr>
        <w:spacing w:before="0" w:after="0"/>
        <w:rPr>
          <w:rFonts w:ascii="Helvetica" w:hAnsi="Helvetica"/>
          <w:bCs/>
          <w:i/>
          <w:i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Rysunek nr </w:t>
      </w:r>
      <w:r>
        <w:rPr>
          <w:rFonts w:ascii="Helvetica" w:hAnsi="Helvetica"/>
          <w:bCs/>
          <w:color w:val="000000" w:themeColor="text1"/>
          <w:sz w:val="22"/>
          <w:szCs w:val="22"/>
        </w:rPr>
        <w:t>3</w:t>
      </w:r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 </w:t>
      </w:r>
      <w:r w:rsidRPr="009D276F">
        <w:rPr>
          <w:rFonts w:ascii="Helvetica" w:hAnsi="Helvetica"/>
          <w:bCs/>
          <w:i/>
          <w:iCs/>
          <w:color w:val="000000" w:themeColor="text1"/>
          <w:sz w:val="22"/>
          <w:szCs w:val="22"/>
        </w:rPr>
        <w:t>Zarzut złożony nr 2</w:t>
      </w:r>
    </w:p>
    <w:p w14:paraId="503B624E" w14:textId="77777777" w:rsidR="009D276F" w:rsidRPr="009D276F" w:rsidRDefault="009D276F" w:rsidP="009D276F">
      <w:pPr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706F63" wp14:editId="2C6DE4FC">
                <wp:simplePos x="0" y="0"/>
                <wp:positionH relativeFrom="column">
                  <wp:posOffset>774261</wp:posOffset>
                </wp:positionH>
                <wp:positionV relativeFrom="paragraph">
                  <wp:posOffset>159287</wp:posOffset>
                </wp:positionV>
                <wp:extent cx="1700286" cy="716915"/>
                <wp:effectExtent l="12700" t="12700" r="14605" b="6985"/>
                <wp:wrapNone/>
                <wp:docPr id="1037015788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0286" cy="7169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75A26A" w14:textId="77777777" w:rsidR="009D276F" w:rsidRPr="00055BB9" w:rsidRDefault="009D276F" w:rsidP="009D276F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055BB9">
                              <w:rPr>
                                <w:rFonts w:ascii="Arial" w:hAnsi="Arial" w:cs="Arial"/>
                              </w:rPr>
                              <w:t>POWOŁANIE NARUSZONEJ ZASADY OGÓLNEJ</w:t>
                            </w:r>
                          </w:p>
                          <w:p w14:paraId="03E4AF87" w14:textId="77777777" w:rsidR="009D276F" w:rsidRPr="00055BB9" w:rsidRDefault="009D276F" w:rsidP="009D276F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8706F63" id="_x0000_s1028" style="position:absolute;margin-left:60.95pt;margin-top:12.55pt;width:133.9pt;height:56.45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" fillcolor="white [3201]" strokecolor="black [2880]" strokeweight="1.25pt">
                <v:textbox>
                  <w:txbxContent>
                    <w:p w14:paraId="6875A26A" w14:textId="77777777" w:rsidR="009D276F" w:rsidRPr="00055BB9" w:rsidRDefault="009D276F" w:rsidP="009D276F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055BB9">
                        <w:rPr>
                          <w:rFonts w:ascii="Arial" w:hAnsi="Arial" w:cs="Arial"/>
                        </w:rPr>
                        <w:t>POWOŁANIE NARUSZONEJ ZASADY OGÓLNEJ</w:t>
                      </w:r>
                    </w:p>
                    <w:p w14:paraId="03E4AF87" w14:textId="77777777" w:rsidR="009D276F" w:rsidRPr="00055BB9" w:rsidRDefault="009D276F" w:rsidP="009D276F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9D276F">
        <w:rPr>
          <w:rFonts w:ascii="Helvetica" w:hAnsi="Helvetica"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EF65DFC" wp14:editId="1C803622">
                <wp:simplePos x="0" y="0"/>
                <wp:positionH relativeFrom="column">
                  <wp:posOffset>3192536</wp:posOffset>
                </wp:positionH>
                <wp:positionV relativeFrom="paragraph">
                  <wp:posOffset>159287</wp:posOffset>
                </wp:positionV>
                <wp:extent cx="1759829" cy="717452"/>
                <wp:effectExtent l="12700" t="12700" r="18415" b="6985"/>
                <wp:wrapNone/>
                <wp:docPr id="885390818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9829" cy="71745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D204904" w14:textId="77777777" w:rsidR="009D276F" w:rsidRPr="00055BB9" w:rsidRDefault="009D276F" w:rsidP="009D276F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POWOŁANIE PRZEPISU USZCZEGÓŁAWIAJĄCEGO ZASADĘ OGÓLNĄ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EF65DFC" id="_x0000_s1029" style="position:absolute;margin-left:251.4pt;margin-top:12.55pt;width:138.55pt;height:56.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" fillcolor="white [3201]" strokecolor="black [2880]" strokeweight="1.25pt">
                <v:textbox>
                  <w:txbxContent>
                    <w:p w14:paraId="4D204904" w14:textId="77777777" w:rsidR="009D276F" w:rsidRPr="00055BB9" w:rsidRDefault="009D276F" w:rsidP="009D276F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POWOŁANIE PRZEPISU USZCZEGÓŁAWIAJĄCEGO ZASADĘ OGÓLNĄ</w:t>
                      </w:r>
                    </w:p>
                  </w:txbxContent>
                </v:textbox>
              </v:rect>
            </w:pict>
          </mc:Fallback>
        </mc:AlternateContent>
      </w:r>
    </w:p>
    <w:p w14:paraId="11371797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0990B9C0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DA988EB" wp14:editId="6BF6A604">
                <wp:simplePos x="0" y="0"/>
                <wp:positionH relativeFrom="column">
                  <wp:posOffset>2694305</wp:posOffset>
                </wp:positionH>
                <wp:positionV relativeFrom="paragraph">
                  <wp:posOffset>64281</wp:posOffset>
                </wp:positionV>
                <wp:extent cx="295422" cy="260253"/>
                <wp:effectExtent l="0" t="0" r="0" b="0"/>
                <wp:wrapNone/>
                <wp:docPr id="1541468202" name="Plu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422" cy="260253"/>
                        </a:xfrm>
                        <a:prstGeom prst="mathPlus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8140B4" id="Plus 4" o:spid="_x0000_s1026" style="position:absolute;margin-left:212.15pt;margin-top:5.05pt;width:23.25pt;height:20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295422,260253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" path="m39158,99521r77947,l117105,34497r61212,l178317,99521r77947,l256264,160732r-77947,l178317,225756r-61212,l117105,160732r-77947,l39158,99521xe" fillcolor="white [3201]" strokecolor="black [2880]" strokeweight="1.25pt">
                <v:path arrowok="t" o:connecttype="custom" o:connectlocs="39158,99521;117105,99521;117105,34497;178317,34497;178317,99521;256264,99521;256264,160732;178317,160732;178317,225756;117105,225756;117105,160732;39158,160732;39158,99521" o:connectangles="0,0,0,0,0,0,0,0,0,0,0,0,0"/>
              </v:shape>
            </w:pict>
          </mc:Fallback>
        </mc:AlternateContent>
      </w:r>
    </w:p>
    <w:p w14:paraId="1032AF94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0386766B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58799C72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i/>
          <w:i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Źródło: </w:t>
      </w:r>
      <w:r w:rsidRPr="009D276F">
        <w:rPr>
          <w:rFonts w:ascii="Helvetica" w:hAnsi="Helvetica"/>
          <w:bCs/>
          <w:i/>
          <w:iCs/>
          <w:color w:val="000000" w:themeColor="text1"/>
          <w:sz w:val="22"/>
          <w:szCs w:val="22"/>
        </w:rPr>
        <w:t>opracowanie własne.</w:t>
      </w:r>
    </w:p>
    <w:p w14:paraId="4C739662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</w:p>
    <w:p w14:paraId="095D06B2" w14:textId="77777777" w:rsidR="009D276F" w:rsidRPr="009D276F" w:rsidRDefault="009D276F" w:rsidP="009D276F">
      <w:pPr>
        <w:spacing w:before="0" w:after="0"/>
        <w:ind w:left="567"/>
        <w:rPr>
          <w:rFonts w:ascii="Helvetica" w:hAnsi="Helvetica"/>
          <w:b/>
          <w:bCs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Przykład:</w:t>
      </w:r>
    </w:p>
    <w:p w14:paraId="50D68D04" w14:textId="77777777" w:rsidR="009D276F" w:rsidRPr="009D276F" w:rsidRDefault="009D276F" w:rsidP="009D276F">
      <w:pPr>
        <w:spacing w:before="0" w:after="0"/>
        <w:ind w:left="567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Naruszenie </w:t>
      </w:r>
      <w:r w:rsidRPr="009D276F">
        <w:rPr>
          <w:rFonts w:ascii="Helvetica" w:hAnsi="Helvetica"/>
          <w:color w:val="000000" w:themeColor="text1"/>
          <w:sz w:val="22"/>
          <w:szCs w:val="22"/>
          <w:u w:color="FF0000"/>
        </w:rPr>
        <w:t>art. 7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w zw. z </w:t>
      </w:r>
      <w:r w:rsidRPr="009D276F">
        <w:rPr>
          <w:rFonts w:ascii="Helvetica" w:hAnsi="Helvetica"/>
          <w:color w:val="000000" w:themeColor="text1"/>
          <w:sz w:val="22"/>
          <w:szCs w:val="22"/>
          <w:u w:color="FF0000"/>
        </w:rPr>
        <w:t>77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k.p.a. poprzez nieprzeprowadzenie dowodu w postaci __________, na okoliczność _______.</w:t>
      </w:r>
    </w:p>
    <w:p w14:paraId="51ECAEB0" w14:textId="77777777" w:rsidR="009D276F" w:rsidRPr="009D276F" w:rsidRDefault="009D276F" w:rsidP="009D276F">
      <w:pPr>
        <w:spacing w:before="0" w:after="0"/>
        <w:rPr>
          <w:rFonts w:ascii="Helvetica" w:hAnsi="Helvetica"/>
          <w:b/>
          <w:bCs/>
          <w:color w:val="000000" w:themeColor="text1"/>
          <w:sz w:val="22"/>
          <w:szCs w:val="22"/>
        </w:rPr>
      </w:pPr>
    </w:p>
    <w:p w14:paraId="7FF686C7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</w:p>
    <w:p w14:paraId="2F9D6F43" w14:textId="72483DD4" w:rsidR="009D276F" w:rsidRPr="009D276F" w:rsidRDefault="009D276F" w:rsidP="009D276F">
      <w:pPr>
        <w:spacing w:before="0" w:after="0"/>
        <w:rPr>
          <w:rFonts w:ascii="Helvetica" w:hAnsi="Helvetica"/>
          <w:bCs/>
          <w:i/>
          <w:i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Rysunek nr </w:t>
      </w:r>
      <w:r>
        <w:rPr>
          <w:rFonts w:ascii="Helvetica" w:hAnsi="Helvetica"/>
          <w:bCs/>
          <w:color w:val="000000" w:themeColor="text1"/>
          <w:sz w:val="22"/>
          <w:szCs w:val="22"/>
        </w:rPr>
        <w:t>4</w:t>
      </w:r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 </w:t>
      </w:r>
      <w:r w:rsidRPr="009D276F">
        <w:rPr>
          <w:rFonts w:ascii="Helvetica" w:hAnsi="Helvetica"/>
          <w:bCs/>
          <w:i/>
          <w:iCs/>
          <w:color w:val="000000" w:themeColor="text1"/>
          <w:sz w:val="22"/>
          <w:szCs w:val="22"/>
        </w:rPr>
        <w:t>Zarzut złożony nr 3</w:t>
      </w:r>
    </w:p>
    <w:p w14:paraId="45C237A1" w14:textId="77777777" w:rsidR="009D276F" w:rsidRPr="009D276F" w:rsidRDefault="009D276F" w:rsidP="009D276F">
      <w:pPr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04BD106" wp14:editId="279ED0D6">
                <wp:simplePos x="0" y="0"/>
                <wp:positionH relativeFrom="column">
                  <wp:posOffset>4043631</wp:posOffset>
                </wp:positionH>
                <wp:positionV relativeFrom="paragraph">
                  <wp:posOffset>159825</wp:posOffset>
                </wp:positionV>
                <wp:extent cx="1759585" cy="767715"/>
                <wp:effectExtent l="12700" t="12700" r="18415" b="6985"/>
                <wp:wrapNone/>
                <wp:docPr id="2125223568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9585" cy="7677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2E6836" w14:textId="77777777" w:rsidR="009D276F" w:rsidRPr="00055BB9" w:rsidRDefault="009D276F" w:rsidP="009D276F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POWOŁANIE PRZEPISU USZCZEGÓŁAWIAJĄCEGO ZASADĘ OGÓLNĄ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4BD106" id="_x0000_s1030" style="position:absolute;margin-left:318.4pt;margin-top:12.6pt;width:138.55pt;height:60.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" fillcolor="white [3201]" strokecolor="black [2880]" strokeweight="1.25pt">
                <v:textbox>
                  <w:txbxContent>
                    <w:p w14:paraId="492E6836" w14:textId="77777777" w:rsidR="009D276F" w:rsidRPr="00055BB9" w:rsidRDefault="009D276F" w:rsidP="009D276F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POWOŁANIE PRZEPISU USZCZEGÓŁAWIAJĄCEGO ZASADĘ OGÓLNĄ</w:t>
                      </w:r>
                    </w:p>
                  </w:txbxContent>
                </v:textbox>
              </v:rect>
            </w:pict>
          </mc:Fallback>
        </mc:AlternateContent>
      </w:r>
      <w:r w:rsidRPr="009D276F">
        <w:rPr>
          <w:rFonts w:ascii="Helvetica" w:hAnsi="Helvetica"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2BE6CC0" wp14:editId="2E5EAE69">
                <wp:simplePos x="0" y="0"/>
                <wp:positionH relativeFrom="column">
                  <wp:posOffset>189083</wp:posOffset>
                </wp:positionH>
                <wp:positionV relativeFrom="paragraph">
                  <wp:posOffset>159825</wp:posOffset>
                </wp:positionV>
                <wp:extent cx="1401103" cy="810260"/>
                <wp:effectExtent l="12700" t="12700" r="8890" b="15240"/>
                <wp:wrapNone/>
                <wp:docPr id="1731897216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1103" cy="81026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E138B09" w14:textId="77777777" w:rsidR="009D276F" w:rsidRPr="00055BB9" w:rsidRDefault="009D276F" w:rsidP="009D276F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055BB9">
                              <w:rPr>
                                <w:rFonts w:ascii="Arial" w:hAnsi="Arial" w:cs="Arial"/>
                              </w:rPr>
                              <w:t>POWOŁANIE WADY KWALIFIKOWANEJ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BE6CC0" id="_x0000_s1031" style="position:absolute;margin-left:14.9pt;margin-top:12.6pt;width:110.3pt;height:63.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" fillcolor="white [3201]" strokecolor="black [2880]" strokeweight="1.25pt">
                <v:textbox>
                  <w:txbxContent>
                    <w:p w14:paraId="5E138B09" w14:textId="77777777" w:rsidR="009D276F" w:rsidRPr="00055BB9" w:rsidRDefault="009D276F" w:rsidP="009D276F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055BB9">
                        <w:rPr>
                          <w:rFonts w:ascii="Arial" w:hAnsi="Arial" w:cs="Arial"/>
                        </w:rPr>
                        <w:t>POWOŁANIE WADY KWALIFIKOWANEJ</w:t>
                      </w:r>
                    </w:p>
                  </w:txbxContent>
                </v:textbox>
              </v:rect>
            </w:pict>
          </mc:Fallback>
        </mc:AlternateContent>
      </w:r>
      <w:r w:rsidRPr="009D276F">
        <w:rPr>
          <w:rFonts w:ascii="Helvetica" w:hAnsi="Helvetica"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155AF84" wp14:editId="4F3B055D">
                <wp:simplePos x="0" y="0"/>
                <wp:positionH relativeFrom="column">
                  <wp:posOffset>2047386</wp:posOffset>
                </wp:positionH>
                <wp:positionV relativeFrom="paragraph">
                  <wp:posOffset>159825</wp:posOffset>
                </wp:positionV>
                <wp:extent cx="1491077" cy="767715"/>
                <wp:effectExtent l="12700" t="12700" r="7620" b="6985"/>
                <wp:wrapNone/>
                <wp:docPr id="1196147636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91077" cy="7677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DED4961" w14:textId="77777777" w:rsidR="009D276F" w:rsidRPr="00055BB9" w:rsidRDefault="009D276F" w:rsidP="009D276F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055BB9">
                              <w:rPr>
                                <w:rFonts w:ascii="Arial" w:hAnsi="Arial" w:cs="Arial"/>
                              </w:rPr>
                              <w:t>POWOŁANIE NARUSZONEJ ZASADY OGÓLNEJ</w:t>
                            </w:r>
                          </w:p>
                          <w:p w14:paraId="6324B606" w14:textId="77777777" w:rsidR="009D276F" w:rsidRPr="00055BB9" w:rsidRDefault="009D276F" w:rsidP="009D276F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55AF84" id="_x0000_s1032" style="position:absolute;margin-left:161.2pt;margin-top:12.6pt;width:117.4pt;height:60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" fillcolor="white [3201]" strokecolor="black [2880]" strokeweight="1.25pt">
                <v:textbox>
                  <w:txbxContent>
                    <w:p w14:paraId="0DED4961" w14:textId="77777777" w:rsidR="009D276F" w:rsidRPr="00055BB9" w:rsidRDefault="009D276F" w:rsidP="009D276F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055BB9">
                        <w:rPr>
                          <w:rFonts w:ascii="Arial" w:hAnsi="Arial" w:cs="Arial"/>
                        </w:rPr>
                        <w:t>POWOŁANIE NARUSZONEJ ZASADY OGÓLNEJ</w:t>
                      </w:r>
                    </w:p>
                    <w:p w14:paraId="6324B606" w14:textId="77777777" w:rsidR="009D276F" w:rsidRPr="00055BB9" w:rsidRDefault="009D276F" w:rsidP="009D276F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46DCF09B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25075156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6499349" wp14:editId="6FA415EF">
                <wp:simplePos x="0" y="0"/>
                <wp:positionH relativeFrom="column">
                  <wp:posOffset>1688123</wp:posOffset>
                </wp:positionH>
                <wp:positionV relativeFrom="paragraph">
                  <wp:posOffset>100428</wp:posOffset>
                </wp:positionV>
                <wp:extent cx="260252" cy="224546"/>
                <wp:effectExtent l="0" t="0" r="0" b="0"/>
                <wp:wrapNone/>
                <wp:docPr id="880525537" name="Plu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252" cy="224546"/>
                        </a:xfrm>
                        <a:prstGeom prst="mathPlus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B8723F" id="Plus 4" o:spid="_x0000_s1026" style="position:absolute;margin-left:132.9pt;margin-top:7.9pt;width:20.5pt;height:17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60252,2245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" path="m34496,85866r69223,l103719,29764r52814,l156533,85866r69223,l225756,138680r-69223,l156533,194782r-52814,l103719,138680r-69223,l34496,85866xe" fillcolor="white [3201]" strokecolor="black [2880]" strokeweight="1.25pt">
                <v:path arrowok="t" o:connecttype="custom" o:connectlocs="34496,85866;103719,85866;103719,29764;156533,29764;156533,85866;225756,85866;225756,138680;156533,138680;156533,194782;103719,194782;103719,138680;34496,138680;34496,85866" o:connectangles="0,0,0,0,0,0,0,0,0,0,0,0,0"/>
              </v:shape>
            </w:pict>
          </mc:Fallback>
        </mc:AlternateContent>
      </w:r>
      <w:r w:rsidRPr="009D276F">
        <w:rPr>
          <w:rFonts w:ascii="Helvetica" w:hAnsi="Helvetica"/>
          <w:bCs/>
          <w:noProof/>
          <w:color w:val="000000" w:themeColor="text1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4EA576E" wp14:editId="2D28D621">
                <wp:simplePos x="0" y="0"/>
                <wp:positionH relativeFrom="column">
                  <wp:posOffset>3538562</wp:posOffset>
                </wp:positionH>
                <wp:positionV relativeFrom="paragraph">
                  <wp:posOffset>99060</wp:posOffset>
                </wp:positionV>
                <wp:extent cx="218049" cy="224546"/>
                <wp:effectExtent l="0" t="0" r="0" b="0"/>
                <wp:wrapNone/>
                <wp:docPr id="1109112002" name="Plu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8049" cy="224546"/>
                        </a:xfrm>
                        <a:prstGeom prst="mathPlus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787FAB" id="Plus 4" o:spid="_x0000_s1026" style="position:absolute;margin-left:278.65pt;margin-top:7.8pt;width:17.15pt;height:17.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18049,22454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" path="m28902,86630r54480,l83382,29764r51285,l134667,86630r54480,l189147,137916r-54480,l134667,194782r-51285,l83382,137916r-54480,l28902,86630xe" fillcolor="white [3201]" strokecolor="black [2880]" strokeweight="1.25pt">
                <v:path arrowok="t" o:connecttype="custom" o:connectlocs="28902,86630;83382,86630;83382,29764;134667,29764;134667,86630;189147,86630;189147,137916;134667,137916;134667,194782;83382,194782;83382,137916;28902,137916;28902,86630" o:connectangles="0,0,0,0,0,0,0,0,0,0,0,0,0"/>
              </v:shape>
            </w:pict>
          </mc:Fallback>
        </mc:AlternateContent>
      </w:r>
    </w:p>
    <w:p w14:paraId="24C820B8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2C9BE978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74586407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color w:val="000000" w:themeColor="text1"/>
          <w:sz w:val="22"/>
          <w:szCs w:val="22"/>
        </w:rPr>
      </w:pPr>
    </w:p>
    <w:p w14:paraId="7E024CA9" w14:textId="77777777" w:rsidR="009D276F" w:rsidRPr="009D276F" w:rsidRDefault="009D276F" w:rsidP="009D276F">
      <w:pPr>
        <w:tabs>
          <w:tab w:val="left" w:pos="5387"/>
        </w:tabs>
        <w:spacing w:before="0" w:after="0"/>
        <w:rPr>
          <w:rFonts w:ascii="Helvetica" w:hAnsi="Helvetica"/>
          <w:bCs/>
          <w:i/>
          <w:iCs/>
          <w:color w:val="000000" w:themeColor="text1"/>
          <w:sz w:val="22"/>
          <w:szCs w:val="22"/>
        </w:rPr>
      </w:pPr>
      <w:r w:rsidRPr="009D276F">
        <w:rPr>
          <w:rFonts w:ascii="Helvetica" w:hAnsi="Helvetica"/>
          <w:bCs/>
          <w:color w:val="000000" w:themeColor="text1"/>
          <w:sz w:val="22"/>
          <w:szCs w:val="22"/>
        </w:rPr>
        <w:t xml:space="preserve">Źródło: </w:t>
      </w:r>
      <w:r w:rsidRPr="009D276F">
        <w:rPr>
          <w:rFonts w:ascii="Helvetica" w:hAnsi="Helvetica"/>
          <w:bCs/>
          <w:i/>
          <w:iCs/>
          <w:color w:val="000000" w:themeColor="text1"/>
          <w:sz w:val="22"/>
          <w:szCs w:val="22"/>
        </w:rPr>
        <w:t>opracowanie własne.</w:t>
      </w:r>
    </w:p>
    <w:p w14:paraId="3943F3CB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</w:p>
    <w:p w14:paraId="7EEC8B15" w14:textId="77777777" w:rsidR="009D276F" w:rsidRPr="009D276F" w:rsidRDefault="009D276F" w:rsidP="009D276F">
      <w:pPr>
        <w:spacing w:before="0" w:after="0"/>
        <w:ind w:left="567"/>
        <w:rPr>
          <w:rFonts w:ascii="Helvetica" w:hAnsi="Helvetica"/>
          <w:b/>
          <w:bCs/>
          <w:color w:val="000000" w:themeColor="text1"/>
          <w:sz w:val="22"/>
          <w:szCs w:val="22"/>
        </w:rPr>
      </w:pPr>
      <w:r w:rsidRPr="009D276F">
        <w:rPr>
          <w:rFonts w:ascii="Helvetica" w:hAnsi="Helvetica"/>
          <w:b/>
          <w:bCs/>
          <w:color w:val="000000" w:themeColor="text1"/>
          <w:sz w:val="22"/>
          <w:szCs w:val="22"/>
        </w:rPr>
        <w:t>Przykład:</w:t>
      </w:r>
    </w:p>
    <w:p w14:paraId="53A0AAC0" w14:textId="77777777" w:rsidR="009D276F" w:rsidRPr="009D276F" w:rsidRDefault="009D276F" w:rsidP="009D276F">
      <w:pPr>
        <w:spacing w:before="0" w:after="0"/>
        <w:ind w:left="567"/>
        <w:rPr>
          <w:rFonts w:ascii="Helvetica" w:hAnsi="Helvetica"/>
          <w:color w:val="000000" w:themeColor="text1"/>
          <w:sz w:val="22"/>
          <w:szCs w:val="22"/>
        </w:rPr>
      </w:pP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Naruszenie art. 6 k.p.a. w zw. z </w:t>
      </w:r>
      <w:r w:rsidRPr="009D276F">
        <w:rPr>
          <w:rFonts w:ascii="Helvetica" w:hAnsi="Helvetica"/>
          <w:color w:val="000000" w:themeColor="text1"/>
          <w:sz w:val="22"/>
          <w:szCs w:val="22"/>
          <w:u w:color="FF0000"/>
        </w:rPr>
        <w:t>art. 138 § 1 pkt 1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i </w:t>
      </w:r>
      <w:r w:rsidRPr="009D276F">
        <w:rPr>
          <w:rFonts w:ascii="Helvetica" w:hAnsi="Helvetica"/>
          <w:color w:val="000000" w:themeColor="text1"/>
          <w:sz w:val="22"/>
          <w:szCs w:val="22"/>
          <w:u w:color="FF0000"/>
        </w:rPr>
        <w:t>2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k.p.a. poprzez utrzymanie w mocy części decyzji administracyjnej przy jednoczesnym uchyleniu pozostałej części decyzji administracyjnej, podczas gdy organ jest uprawniony do wydania wyłącznie jednego z rozstrzygnięć z </w:t>
      </w:r>
      <w:r w:rsidRPr="009D276F">
        <w:rPr>
          <w:rFonts w:ascii="Helvetica" w:hAnsi="Helvetica"/>
          <w:color w:val="000000" w:themeColor="text1"/>
          <w:sz w:val="22"/>
          <w:szCs w:val="22"/>
          <w:u w:color="FF0000"/>
        </w:rPr>
        <w:t>art. 138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k.p.a. co skutkuje tym, że zaskarżona decyzja jest dotknięta w tym zakresie wadą nieważności, o której mowa w </w:t>
      </w:r>
      <w:r w:rsidRPr="009D276F">
        <w:rPr>
          <w:rFonts w:ascii="Helvetica" w:hAnsi="Helvetica"/>
          <w:color w:val="000000" w:themeColor="text1"/>
          <w:sz w:val="22"/>
          <w:szCs w:val="22"/>
          <w:u w:color="FF0000"/>
        </w:rPr>
        <w:t>art. 156 § 1 pkt 2</w:t>
      </w:r>
      <w:r w:rsidRPr="009D276F">
        <w:rPr>
          <w:rFonts w:ascii="Helvetica" w:hAnsi="Helvetica"/>
          <w:color w:val="000000" w:themeColor="text1"/>
          <w:sz w:val="22"/>
          <w:szCs w:val="22"/>
        </w:rPr>
        <w:t xml:space="preserve"> k.p.a.</w:t>
      </w:r>
    </w:p>
    <w:p w14:paraId="55C366D5" w14:textId="77777777" w:rsidR="009D276F" w:rsidRPr="009D276F" w:rsidRDefault="009D276F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</w:p>
    <w:p w14:paraId="074751DA" w14:textId="77777777" w:rsidR="009C25B0" w:rsidRPr="009D276F" w:rsidRDefault="009C25B0" w:rsidP="009D276F">
      <w:pPr>
        <w:spacing w:before="0" w:after="0"/>
        <w:rPr>
          <w:rFonts w:ascii="Helvetica" w:hAnsi="Helvetica"/>
          <w:color w:val="000000" w:themeColor="text1"/>
          <w:sz w:val="22"/>
          <w:szCs w:val="22"/>
        </w:rPr>
      </w:pPr>
    </w:p>
    <w:sectPr w:rsidR="009C25B0" w:rsidRPr="009D27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276F"/>
    <w:rsid w:val="00007449"/>
    <w:rsid w:val="002D636A"/>
    <w:rsid w:val="00866E30"/>
    <w:rsid w:val="009C25B0"/>
    <w:rsid w:val="009D2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82F64"/>
  <w15:chartTrackingRefBased/>
  <w15:docId w15:val="{2AA71FA9-45B5-8E4B-8234-AD8ED2AE5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en-US" w:bidi="ar-SA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D276F"/>
    <w:rPr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D276F"/>
    <w:pPr>
      <w:pBdr>
        <w:top w:val="single" w:sz="24" w:space="0" w:color="3494BA" w:themeColor="accent1"/>
        <w:left w:val="single" w:sz="24" w:space="0" w:color="3494BA" w:themeColor="accent1"/>
        <w:bottom w:val="single" w:sz="24" w:space="0" w:color="3494BA" w:themeColor="accent1"/>
        <w:right w:val="single" w:sz="24" w:space="0" w:color="3494BA" w:themeColor="accent1"/>
      </w:pBdr>
      <w:shd w:val="clear" w:color="auto" w:fill="3494BA" w:themeFill="accent1"/>
      <w:spacing w:after="0"/>
      <w:outlineLvl w:val="0"/>
    </w:pPr>
    <w:rPr>
      <w:b/>
      <w:bCs/>
      <w:caps/>
      <w:color w:val="FFFFFF" w:themeColor="background1"/>
      <w:spacing w:val="15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D276F"/>
    <w:pPr>
      <w:pBdr>
        <w:top w:val="single" w:sz="24" w:space="0" w:color="D4EAF3" w:themeColor="accent1" w:themeTint="33"/>
        <w:left w:val="single" w:sz="24" w:space="0" w:color="D4EAF3" w:themeColor="accent1" w:themeTint="33"/>
        <w:bottom w:val="single" w:sz="24" w:space="0" w:color="D4EAF3" w:themeColor="accent1" w:themeTint="33"/>
        <w:right w:val="single" w:sz="24" w:space="0" w:color="D4EAF3" w:themeColor="accent1" w:themeTint="33"/>
      </w:pBdr>
      <w:shd w:val="clear" w:color="auto" w:fill="D4EAF3" w:themeFill="accent1" w:themeFillTint="33"/>
      <w:spacing w:after="0"/>
      <w:outlineLvl w:val="1"/>
    </w:pPr>
    <w:rPr>
      <w:caps/>
      <w:spacing w:val="15"/>
      <w:sz w:val="22"/>
      <w:szCs w:val="2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D276F"/>
    <w:pPr>
      <w:pBdr>
        <w:top w:val="single" w:sz="6" w:space="2" w:color="3494BA" w:themeColor="accent1"/>
        <w:left w:val="single" w:sz="6" w:space="2" w:color="3494BA" w:themeColor="accent1"/>
      </w:pBdr>
      <w:spacing w:before="300" w:after="0"/>
      <w:outlineLvl w:val="2"/>
    </w:pPr>
    <w:rPr>
      <w:caps/>
      <w:color w:val="1A495C" w:themeColor="accent1" w:themeShade="7F"/>
      <w:spacing w:val="15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D276F"/>
    <w:pPr>
      <w:pBdr>
        <w:top w:val="dotted" w:sz="6" w:space="2" w:color="3494BA" w:themeColor="accent1"/>
        <w:left w:val="dotted" w:sz="6" w:space="2" w:color="3494BA" w:themeColor="accent1"/>
      </w:pBdr>
      <w:spacing w:before="300" w:after="0"/>
      <w:outlineLvl w:val="3"/>
    </w:pPr>
    <w:rPr>
      <w:caps/>
      <w:color w:val="276E8B" w:themeColor="accent1" w:themeShade="BF"/>
      <w:spacing w:val="10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D276F"/>
    <w:pPr>
      <w:pBdr>
        <w:bottom w:val="single" w:sz="6" w:space="1" w:color="3494BA" w:themeColor="accent1"/>
      </w:pBdr>
      <w:spacing w:before="300" w:after="0"/>
      <w:outlineLvl w:val="4"/>
    </w:pPr>
    <w:rPr>
      <w:caps/>
      <w:color w:val="276E8B" w:themeColor="accent1" w:themeShade="BF"/>
      <w:spacing w:val="10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D276F"/>
    <w:pPr>
      <w:pBdr>
        <w:bottom w:val="dotted" w:sz="6" w:space="1" w:color="3494BA" w:themeColor="accent1"/>
      </w:pBdr>
      <w:spacing w:before="300" w:after="0"/>
      <w:outlineLvl w:val="5"/>
    </w:pPr>
    <w:rPr>
      <w:caps/>
      <w:color w:val="276E8B" w:themeColor="accent1" w:themeShade="BF"/>
      <w:spacing w:val="10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D276F"/>
    <w:pPr>
      <w:spacing w:before="300" w:after="0"/>
      <w:outlineLvl w:val="6"/>
    </w:pPr>
    <w:rPr>
      <w:caps/>
      <w:color w:val="276E8B" w:themeColor="accent1" w:themeShade="BF"/>
      <w:spacing w:val="10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D276F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D276F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D276F"/>
    <w:rPr>
      <w:b/>
      <w:bCs/>
      <w:caps/>
      <w:color w:val="FFFFFF" w:themeColor="background1"/>
      <w:spacing w:val="15"/>
      <w:shd w:val="clear" w:color="auto" w:fill="3494BA" w:themeFill="accent1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D276F"/>
    <w:rPr>
      <w:caps/>
      <w:spacing w:val="15"/>
      <w:shd w:val="clear" w:color="auto" w:fill="D4EAF3" w:themeFill="accent1" w:themeFillTint="33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D276F"/>
    <w:rPr>
      <w:caps/>
      <w:color w:val="1A495C" w:themeColor="accent1" w:themeShade="7F"/>
      <w:spacing w:val="15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D276F"/>
    <w:rPr>
      <w:caps/>
      <w:color w:val="276E8B" w:themeColor="accent1" w:themeShade="BF"/>
      <w:spacing w:val="10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D276F"/>
    <w:rPr>
      <w:caps/>
      <w:color w:val="276E8B" w:themeColor="accent1" w:themeShade="BF"/>
      <w:spacing w:val="1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D276F"/>
    <w:rPr>
      <w:caps/>
      <w:color w:val="276E8B" w:themeColor="accent1" w:themeShade="BF"/>
      <w:spacing w:val="1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D276F"/>
    <w:rPr>
      <w:caps/>
      <w:color w:val="276E8B" w:themeColor="accent1" w:themeShade="BF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D276F"/>
    <w:rPr>
      <w:caps/>
      <w:spacing w:val="10"/>
      <w:sz w:val="18"/>
      <w:szCs w:val="1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D276F"/>
    <w:rPr>
      <w:i/>
      <w:caps/>
      <w:spacing w:val="10"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9D276F"/>
    <w:pPr>
      <w:spacing w:before="720"/>
    </w:pPr>
    <w:rPr>
      <w:caps/>
      <w:color w:val="3494BA" w:themeColor="accent1"/>
      <w:spacing w:val="10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9D276F"/>
    <w:rPr>
      <w:caps/>
      <w:color w:val="3494BA" w:themeColor="accent1"/>
      <w:spacing w:val="10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D276F"/>
    <w:pPr>
      <w:spacing w:after="1000" w:line="240" w:lineRule="auto"/>
    </w:pPr>
    <w:rPr>
      <w:caps/>
      <w:color w:val="595959" w:themeColor="text1" w:themeTint="A6"/>
      <w:spacing w:val="10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9D276F"/>
    <w:rPr>
      <w:caps/>
      <w:color w:val="595959" w:themeColor="text1" w:themeTint="A6"/>
      <w:spacing w:val="10"/>
      <w:sz w:val="24"/>
      <w:szCs w:val="24"/>
    </w:rPr>
  </w:style>
  <w:style w:type="character" w:styleId="Pogrubienie">
    <w:name w:val="Strong"/>
    <w:uiPriority w:val="22"/>
    <w:qFormat/>
    <w:rsid w:val="009D276F"/>
    <w:rPr>
      <w:b/>
      <w:bCs/>
    </w:rPr>
  </w:style>
  <w:style w:type="character" w:styleId="Uwydatnienie">
    <w:name w:val="Emphasis"/>
    <w:uiPriority w:val="20"/>
    <w:qFormat/>
    <w:rsid w:val="009D276F"/>
    <w:rPr>
      <w:caps/>
      <w:color w:val="1A495C" w:themeColor="accent1" w:themeShade="7F"/>
      <w:spacing w:val="5"/>
    </w:rPr>
  </w:style>
  <w:style w:type="paragraph" w:styleId="Bezodstpw">
    <w:name w:val="No Spacing"/>
    <w:basedOn w:val="Normalny"/>
    <w:link w:val="BezodstpwZnak"/>
    <w:uiPriority w:val="1"/>
    <w:qFormat/>
    <w:rsid w:val="009D276F"/>
    <w:pPr>
      <w:spacing w:before="0" w:after="0" w:line="240" w:lineRule="auto"/>
    </w:pPr>
  </w:style>
  <w:style w:type="character" w:customStyle="1" w:styleId="BezodstpwZnak">
    <w:name w:val="Bez odstępów Znak"/>
    <w:basedOn w:val="Domylnaczcionkaakapitu"/>
    <w:link w:val="Bezodstpw"/>
    <w:uiPriority w:val="1"/>
    <w:rsid w:val="009D276F"/>
    <w:rPr>
      <w:sz w:val="20"/>
      <w:szCs w:val="20"/>
    </w:rPr>
  </w:style>
  <w:style w:type="paragraph" w:styleId="Akapitzlist">
    <w:name w:val="List Paragraph"/>
    <w:basedOn w:val="Normalny"/>
    <w:uiPriority w:val="34"/>
    <w:qFormat/>
    <w:rsid w:val="009D276F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9D276F"/>
    <w:rPr>
      <w:i/>
      <w:iCs/>
    </w:rPr>
  </w:style>
  <w:style w:type="character" w:customStyle="1" w:styleId="CytatZnak">
    <w:name w:val="Cytat Znak"/>
    <w:basedOn w:val="Domylnaczcionkaakapitu"/>
    <w:link w:val="Cytat"/>
    <w:uiPriority w:val="29"/>
    <w:rsid w:val="009D276F"/>
    <w:rPr>
      <w:i/>
      <w:iCs/>
      <w:sz w:val="20"/>
      <w:szCs w:val="20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D276F"/>
    <w:pPr>
      <w:pBdr>
        <w:top w:val="single" w:sz="4" w:space="10" w:color="3494BA" w:themeColor="accent1"/>
        <w:left w:val="single" w:sz="4" w:space="10" w:color="3494BA" w:themeColor="accent1"/>
      </w:pBdr>
      <w:spacing w:after="0"/>
      <w:ind w:left="1296" w:right="1152"/>
      <w:jc w:val="both"/>
    </w:pPr>
    <w:rPr>
      <w:i/>
      <w:iCs/>
      <w:color w:val="3494BA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D276F"/>
    <w:rPr>
      <w:i/>
      <w:iCs/>
      <w:color w:val="3494BA" w:themeColor="accent1"/>
      <w:sz w:val="20"/>
      <w:szCs w:val="20"/>
    </w:rPr>
  </w:style>
  <w:style w:type="character" w:styleId="Wyrnieniedelikatne">
    <w:name w:val="Subtle Emphasis"/>
    <w:uiPriority w:val="19"/>
    <w:qFormat/>
    <w:rsid w:val="009D276F"/>
    <w:rPr>
      <w:i/>
      <w:iCs/>
      <w:color w:val="1A495C" w:themeColor="accent1" w:themeShade="7F"/>
    </w:rPr>
  </w:style>
  <w:style w:type="character" w:styleId="Wyrnienieintensywne">
    <w:name w:val="Intense Emphasis"/>
    <w:uiPriority w:val="21"/>
    <w:qFormat/>
    <w:rsid w:val="009D276F"/>
    <w:rPr>
      <w:b/>
      <w:bCs/>
      <w:caps/>
      <w:color w:val="1A495C" w:themeColor="accent1" w:themeShade="7F"/>
      <w:spacing w:val="10"/>
    </w:rPr>
  </w:style>
  <w:style w:type="character" w:styleId="Odwoaniedelikatne">
    <w:name w:val="Subtle Reference"/>
    <w:uiPriority w:val="31"/>
    <w:qFormat/>
    <w:rsid w:val="009D276F"/>
    <w:rPr>
      <w:b/>
      <w:bCs/>
      <w:color w:val="3494BA" w:themeColor="accent1"/>
    </w:rPr>
  </w:style>
  <w:style w:type="character" w:styleId="Odwoanieintensywne">
    <w:name w:val="Intense Reference"/>
    <w:uiPriority w:val="32"/>
    <w:qFormat/>
    <w:rsid w:val="009D276F"/>
    <w:rPr>
      <w:b/>
      <w:bCs/>
      <w:i/>
      <w:iCs/>
      <w:caps/>
      <w:color w:val="3494BA" w:themeColor="accent1"/>
    </w:rPr>
  </w:style>
  <w:style w:type="character" w:styleId="Tytuksiki">
    <w:name w:val="Book Title"/>
    <w:uiPriority w:val="33"/>
    <w:qFormat/>
    <w:rsid w:val="009D276F"/>
    <w:rPr>
      <w:b/>
      <w:bCs/>
      <w:i/>
      <w:iCs/>
      <w:spacing w:val="9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9D276F"/>
    <w:pPr>
      <w:outlineLvl w:val="9"/>
    </w:pPr>
  </w:style>
  <w:style w:type="table" w:styleId="Tabela-Siatka">
    <w:name w:val="Table Grid"/>
    <w:basedOn w:val="Standardowy"/>
    <w:uiPriority w:val="39"/>
    <w:rsid w:val="009D276F"/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9D276F"/>
    <w:rPr>
      <w:b/>
      <w:bCs/>
      <w:color w:val="276E8B" w:themeColor="accent1" w:themeShade="BF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sv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sv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Atlas">
  <a:themeElements>
    <a:clrScheme name="Niebieskozielony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Atlas">
      <a:fillStyleLst>
        <a:solidFill>
          <a:schemeClr val="phClr"/>
        </a:solidFill>
        <a:gradFill rotWithShape="1">
          <a:gsLst>
            <a:gs pos="0">
              <a:schemeClr val="phClr">
                <a:tint val="62000"/>
                <a:alpha val="60000"/>
                <a:satMod val="109000"/>
                <a:lumMod val="110000"/>
              </a:schemeClr>
            </a:gs>
            <a:gs pos="100000">
              <a:schemeClr val="phClr">
                <a:tint val="78000"/>
                <a:alpha val="92000"/>
                <a:satMod val="109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satMod val="110000"/>
                <a:lumMod val="104000"/>
              </a:schemeClr>
            </a:gs>
            <a:gs pos="69000">
              <a:schemeClr val="phClr">
                <a:shade val="84000"/>
                <a:satMod val="130000"/>
                <a:lumMod val="92000"/>
              </a:schemeClr>
            </a:gs>
            <a:gs pos="100000">
              <a:schemeClr val="phClr">
                <a:shade val="76000"/>
                <a:satMod val="130000"/>
                <a:lumMod val="88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>
              <a:shade val="90000"/>
            </a:schemeClr>
          </a:solidFill>
          <a:prstDash val="solid"/>
        </a:ln>
        <a:ln w="15875" cap="flat" cmpd="sng" algn="ctr">
          <a:solidFill>
            <a:schemeClr val="phClr">
              <a:shade val="90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5400" dir="5400000" rotWithShape="0">
              <a:srgbClr val="000000">
                <a:alpha val="75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>
            <a:bevelT w="0" h="0"/>
          </a:sp3d>
        </a:effectStyle>
      </a:effectStyleLst>
      <a:bgFillStyleLst>
        <a:solidFill>
          <a:schemeClr val="phClr"/>
        </a:solidFill>
        <a:solidFill>
          <a:schemeClr val="phClr"/>
        </a:solidFill>
        <a:gradFill rotWithShape="1">
          <a:gsLst>
            <a:gs pos="10000">
              <a:schemeClr val="phClr">
                <a:tint val="94000"/>
                <a:lumMod val="116000"/>
              </a:schemeClr>
            </a:gs>
            <a:gs pos="100000">
              <a:schemeClr val="phClr">
                <a:tint val="98000"/>
                <a:shade val="86000"/>
                <a:satMod val="90000"/>
                <a:lumMod val="88000"/>
              </a:schemeClr>
            </a:gs>
          </a:gsLst>
          <a:path path="circle">
            <a:fillToRect l="50000" t="15000" r="50000" b="169000"/>
          </a:path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Atlas" id="{5156B0E4-0EB1-49FE-A26B-15F6F698AEC6}" vid="{508F7963-D0B5-43F7-BB2C-FCE3009C08EC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1055</Words>
  <Characters>6330</Characters>
  <Application>Microsoft Office Word</Application>
  <DocSecurity>0</DocSecurity>
  <Lines>52</Lines>
  <Paragraphs>14</Paragraphs>
  <ScaleCrop>false</ScaleCrop>
  <Company/>
  <LinksUpToDate>false</LinksUpToDate>
  <CharactersWithSpaces>7371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Cebera</dc:creator>
  <cp:keywords/>
  <dc:description/>
  <cp:lastModifiedBy>Agata Cebera</cp:lastModifiedBy>
  <cp:revision>1</cp:revision>
  <dcterms:created xsi:type="dcterms:W3CDTF">2025-07-02T20:25:00Z</dcterms:created>
  <dcterms:modified xsi:type="dcterms:W3CDTF">2025-07-02T20:27:00Z</dcterms:modified>
</cp:coreProperties>
</file>