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3A95BA" w14:textId="25AA799A" w:rsidR="00EB33A9" w:rsidRDefault="00EB33A9" w:rsidP="00EB33A9">
      <w:pPr>
        <w:jc w:val="center"/>
        <w:rPr>
          <w:rFonts w:asciiTheme="minorHAnsi" w:hAnsiTheme="minorHAnsi" w:cs="Times New Roman"/>
          <w:b/>
          <w:bCs/>
          <w:color w:val="000000"/>
        </w:rPr>
      </w:pPr>
      <w:r>
        <w:rPr>
          <w:rFonts w:asciiTheme="minorHAnsi" w:hAnsiTheme="minorHAnsi" w:cs="Times New Roman"/>
          <w:b/>
          <w:bCs/>
          <w:color w:val="000000"/>
        </w:rPr>
        <w:t>KAZUS Z PRAWA UNIJNEGO</w:t>
      </w:r>
      <w:r w:rsidR="006A5197">
        <w:rPr>
          <w:rFonts w:asciiTheme="minorHAnsi" w:hAnsiTheme="minorHAnsi" w:cs="Times New Roman"/>
          <w:b/>
          <w:bCs/>
          <w:color w:val="000000"/>
        </w:rPr>
        <w:t xml:space="preserve"> (FIKCYJNY STAN PRAWNY I FAKTYCZNY)</w:t>
      </w:r>
    </w:p>
    <w:p w14:paraId="5A250704" w14:textId="6C74E79A" w:rsidR="00E42BFD" w:rsidRDefault="00757052" w:rsidP="00867117">
      <w:pPr>
        <w:jc w:val="both"/>
        <w:rPr>
          <w:rFonts w:asciiTheme="minorHAnsi" w:hAnsiTheme="minorHAnsi" w:cs="Times New Roman"/>
          <w:color w:val="000000"/>
        </w:rPr>
      </w:pPr>
      <w:r w:rsidRPr="00E2101D">
        <w:rPr>
          <w:rFonts w:asciiTheme="minorHAnsi" w:hAnsiTheme="minorHAnsi" w:cs="Times New Roman"/>
          <w:color w:val="000000"/>
        </w:rPr>
        <w:t>W myśl</w:t>
      </w:r>
      <w:r w:rsidR="006224B2">
        <w:rPr>
          <w:rFonts w:asciiTheme="minorHAnsi" w:hAnsiTheme="minorHAnsi" w:cs="Times New Roman"/>
          <w:color w:val="000000"/>
        </w:rPr>
        <w:t xml:space="preserve"> nieimplementowanej do prawa krajowego pomimo upływu przewidzianego na implementację terminu</w:t>
      </w:r>
      <w:r w:rsidRPr="00E2101D">
        <w:rPr>
          <w:rFonts w:asciiTheme="minorHAnsi" w:hAnsiTheme="minorHAnsi" w:cs="Times New Roman"/>
          <w:color w:val="000000"/>
        </w:rPr>
        <w:t xml:space="preserve"> dyrektywy</w:t>
      </w:r>
      <w:r w:rsidR="006224B2">
        <w:rPr>
          <w:rFonts w:asciiTheme="minorHAnsi" w:hAnsiTheme="minorHAnsi" w:cs="Times New Roman"/>
          <w:color w:val="000000"/>
        </w:rPr>
        <w:t>,</w:t>
      </w:r>
      <w:r w:rsidRPr="00E2101D">
        <w:rPr>
          <w:rFonts w:asciiTheme="minorHAnsi" w:hAnsiTheme="minorHAnsi" w:cs="Times New Roman"/>
          <w:color w:val="000000"/>
        </w:rPr>
        <w:t xml:space="preserve"> spółce zajmującej się dystrybucją węgla </w:t>
      </w:r>
      <w:r w:rsidR="006224B2">
        <w:rPr>
          <w:rFonts w:asciiTheme="minorHAnsi" w:hAnsiTheme="minorHAnsi" w:cs="Times New Roman"/>
          <w:color w:val="000000"/>
        </w:rPr>
        <w:t>Tani Węgiel Sp. z o.o.</w:t>
      </w:r>
      <w:r w:rsidRPr="00E2101D">
        <w:rPr>
          <w:rFonts w:asciiTheme="minorHAnsi" w:hAnsiTheme="minorHAnsi" w:cs="Times New Roman"/>
          <w:color w:val="000000"/>
        </w:rPr>
        <w:t xml:space="preserve"> przysługiwało prawo do odstąpienia od </w:t>
      </w:r>
      <w:r w:rsidR="006224B2">
        <w:rPr>
          <w:rFonts w:asciiTheme="minorHAnsi" w:hAnsiTheme="minorHAnsi" w:cs="Times New Roman"/>
          <w:color w:val="000000"/>
        </w:rPr>
        <w:t xml:space="preserve">umów sprzedaży węgla </w:t>
      </w:r>
      <w:r w:rsidRPr="00E2101D">
        <w:rPr>
          <w:rFonts w:asciiTheme="minorHAnsi" w:hAnsiTheme="minorHAnsi" w:cs="Times New Roman"/>
          <w:color w:val="000000"/>
        </w:rPr>
        <w:t xml:space="preserve">ze skutkiem natychmiastowym w razie wystąpienia nieprzewidzianego zdarzenia w postaci siły wyższej. W związku z długotrwałą przerwą pracy kopalń w wyniku powodzi obejmującej rozległe obszary Polski, spółka ta złożyła swoim kontrahentom oświadczenie, w którym odstępowała od zawartych uprzednio umów. </w:t>
      </w:r>
      <w:r w:rsidR="006224B2">
        <w:rPr>
          <w:rFonts w:asciiTheme="minorHAnsi" w:hAnsiTheme="minorHAnsi" w:cs="Times New Roman"/>
          <w:color w:val="000000"/>
        </w:rPr>
        <w:t xml:space="preserve">Kontrahenci odmówili </w:t>
      </w:r>
      <w:r w:rsidRPr="00E2101D">
        <w:rPr>
          <w:rFonts w:asciiTheme="minorHAnsi" w:hAnsiTheme="minorHAnsi" w:cs="Times New Roman"/>
          <w:color w:val="000000"/>
        </w:rPr>
        <w:t>uznania odstąpienia od</w:t>
      </w:r>
      <w:r w:rsidR="006224B2">
        <w:rPr>
          <w:rFonts w:asciiTheme="minorHAnsi" w:hAnsiTheme="minorHAnsi" w:cs="Times New Roman"/>
          <w:color w:val="000000"/>
        </w:rPr>
        <w:t xml:space="preserve"> tych</w:t>
      </w:r>
      <w:r w:rsidRPr="00E2101D">
        <w:rPr>
          <w:rFonts w:asciiTheme="minorHAnsi" w:hAnsiTheme="minorHAnsi" w:cs="Times New Roman"/>
          <w:color w:val="000000"/>
        </w:rPr>
        <w:t xml:space="preserve"> um</w:t>
      </w:r>
      <w:r w:rsidR="006224B2">
        <w:rPr>
          <w:rFonts w:asciiTheme="minorHAnsi" w:hAnsiTheme="minorHAnsi" w:cs="Times New Roman"/>
          <w:color w:val="000000"/>
        </w:rPr>
        <w:t>ów</w:t>
      </w:r>
      <w:r w:rsidRPr="00E2101D">
        <w:rPr>
          <w:rFonts w:asciiTheme="minorHAnsi" w:hAnsiTheme="minorHAnsi" w:cs="Times New Roman"/>
          <w:color w:val="000000"/>
        </w:rPr>
        <w:t xml:space="preserve"> za skuteczne, powołując się na fakt, że pomimo upływu przepisanego prawem terminu dyrektywa nie była implementowana do prawa polskiego</w:t>
      </w:r>
      <w:r w:rsidR="008A50BD">
        <w:rPr>
          <w:rFonts w:asciiTheme="minorHAnsi" w:hAnsiTheme="minorHAnsi" w:cs="Times New Roman"/>
          <w:color w:val="000000"/>
        </w:rPr>
        <w:t>, i wystąpili do spółki Tani Węgiel z roszczeni</w:t>
      </w:r>
      <w:r w:rsidR="00A4504C">
        <w:rPr>
          <w:rFonts w:asciiTheme="minorHAnsi" w:hAnsiTheme="minorHAnsi" w:cs="Times New Roman"/>
          <w:color w:val="000000"/>
        </w:rPr>
        <w:t>ami</w:t>
      </w:r>
      <w:r w:rsidR="008A50BD">
        <w:rPr>
          <w:rFonts w:asciiTheme="minorHAnsi" w:hAnsiTheme="minorHAnsi" w:cs="Times New Roman"/>
          <w:color w:val="000000"/>
        </w:rPr>
        <w:t xml:space="preserve"> odszkodowawczy</w:t>
      </w:r>
      <w:r w:rsidR="00A4504C">
        <w:rPr>
          <w:rFonts w:asciiTheme="minorHAnsi" w:hAnsiTheme="minorHAnsi" w:cs="Times New Roman"/>
          <w:color w:val="000000"/>
        </w:rPr>
        <w:t>mi, a następnie złożyli przeciwko niej pozwy</w:t>
      </w:r>
      <w:r w:rsidRPr="00E2101D">
        <w:rPr>
          <w:rFonts w:asciiTheme="minorHAnsi" w:hAnsiTheme="minorHAnsi" w:cs="Times New Roman"/>
          <w:color w:val="000000"/>
        </w:rPr>
        <w:t xml:space="preserve">. Prezes Urzędu Regulacji Energetyki po bezskutecznym wniosku o zadanie pytania prejudycjalnego złożonym do sądu rozpatrującego spór między spółkami, postanowił samodzielnie zwrócić się do Trybunału Sprawiedliwości z pytaniem prejudycjalnym dotyczącym a) wykładni postanowień dyrektywy b) ważności przepisów Traktatu o funkcjonowaniu Unii Europejskiej dotyczących unijnej polityki energetycznej c) relacji podporządkowania między prawem krajowym a prawem Unii Europejskiej we wskazanym przedmiocie. </w:t>
      </w:r>
      <w:r w:rsidR="00A4504C">
        <w:rPr>
          <w:rFonts w:asciiTheme="minorHAnsi" w:hAnsiTheme="minorHAnsi" w:cs="Times New Roman"/>
          <w:color w:val="000000"/>
        </w:rPr>
        <w:t xml:space="preserve">                      </w:t>
      </w:r>
      <w:r w:rsidRPr="00E2101D">
        <w:rPr>
          <w:rFonts w:asciiTheme="minorHAnsi" w:hAnsiTheme="minorHAnsi" w:cs="Times New Roman"/>
          <w:color w:val="000000"/>
        </w:rPr>
        <w:t xml:space="preserve">W międzyczasie zaalarmowana doniesieniami prasowymi Komisja Europejska skierowała przeciwko Polsce skargę o stwierdzenie uchybienia zobowiązaniu państwa członkowskiego, powołując się na brak </w:t>
      </w:r>
      <w:r w:rsidR="006224B2">
        <w:rPr>
          <w:rFonts w:asciiTheme="minorHAnsi" w:hAnsiTheme="minorHAnsi" w:cs="Times New Roman"/>
          <w:color w:val="000000"/>
        </w:rPr>
        <w:t xml:space="preserve">implementacji dyrektywy </w:t>
      </w:r>
      <w:r w:rsidRPr="00E2101D">
        <w:rPr>
          <w:rFonts w:asciiTheme="minorHAnsi" w:hAnsiTheme="minorHAnsi" w:cs="Times New Roman"/>
          <w:color w:val="000000"/>
        </w:rPr>
        <w:t xml:space="preserve">i proponując nałożenie okresowej kary pieniężnej. W toku postępowania Polska podnosiła, że katastrofa naturalna w postaci powodzi stanowiąca przypadek siły wyższej uniemożliwiła jej dopełnienie zobowiązania państwa członkowskiego. Trybunał nie uwzględnił tego argumentu i nałożył okresową karę pieniężną wyższą niż proponowana przez Komisję. W konsekwencji ustawodawca krajowy implementował dyrektywę, uchwalając nową ustawę, jednak – w odniesieniu do uprzednio istniejących przepisów krajowych, które okazały się sprzeczne z nowo implementowaną dyrektywą – odmówił ich uchylenia, stwierdzając, że zgodnie z zasadą pierwszeństwa prawa unijnego wystarczy, żeby normy uznane za sprzeczne nie były stosowane, gdyż zasada ta zakłada prymat stosowania, a nie obowiązywania. Po naciskach ze strony Komisji </w:t>
      </w:r>
      <w:r w:rsidR="00A4504C">
        <w:rPr>
          <w:rFonts w:asciiTheme="minorHAnsi" w:hAnsiTheme="minorHAnsi" w:cs="Times New Roman"/>
          <w:color w:val="000000"/>
        </w:rPr>
        <w:t xml:space="preserve">Europejskiej </w:t>
      </w:r>
      <w:r w:rsidRPr="00E2101D">
        <w:rPr>
          <w:rFonts w:asciiTheme="minorHAnsi" w:hAnsiTheme="minorHAnsi" w:cs="Times New Roman"/>
          <w:color w:val="000000"/>
        </w:rPr>
        <w:t>i pod wpływem groźby wszczęcia kolejnego postępowania ze skargi na naruszenie zobowiązań państwa członkowskiego Polska uchyliła sporne normy, wprowadzając w ich miejsce przepisy, które według Komisji również stały w sprzeczności z normami dyrektywy. Rozpatrując kolejne spory, sądy krajowe stosowały</w:t>
      </w:r>
      <w:r w:rsidR="006224B2">
        <w:rPr>
          <w:rFonts w:asciiTheme="minorHAnsi" w:hAnsiTheme="minorHAnsi" w:cs="Times New Roman"/>
          <w:color w:val="000000"/>
        </w:rPr>
        <w:t xml:space="preserve"> te nowe postanowienia prawa krajowego</w:t>
      </w:r>
      <w:r w:rsidRPr="00E2101D">
        <w:rPr>
          <w:rFonts w:asciiTheme="minorHAnsi" w:hAnsiTheme="minorHAnsi" w:cs="Times New Roman"/>
          <w:color w:val="000000"/>
        </w:rPr>
        <w:t>, stojąc na stanowisku, że powinność odmowy ich zastosowania będzie na nich ciążyć od momentu bądź to ich uchylenia przez ustawodawcę krajowego, bądź to po wydaniu przez Trybunał Sprawiedliwości orzeczenia w przedmiocie ich niezgodności z prawem unijnym.</w:t>
      </w:r>
    </w:p>
    <w:p w14:paraId="60712363" w14:textId="77777777" w:rsidR="00A4504C" w:rsidRDefault="00A4504C" w:rsidP="00867117">
      <w:pPr>
        <w:jc w:val="both"/>
        <w:rPr>
          <w:rFonts w:asciiTheme="minorHAnsi" w:hAnsiTheme="minorHAnsi" w:cs="Times New Roman"/>
          <w:color w:val="000000"/>
        </w:rPr>
      </w:pPr>
    </w:p>
    <w:p w14:paraId="7E528732" w14:textId="5BE5F70E" w:rsidR="006A5197" w:rsidRPr="006A5197" w:rsidRDefault="006A5197" w:rsidP="00867117">
      <w:pPr>
        <w:jc w:val="both"/>
        <w:rPr>
          <w:rFonts w:asciiTheme="minorHAnsi" w:hAnsiTheme="minorHAnsi" w:cs="Times New Roman"/>
          <w:b/>
          <w:bCs/>
          <w:color w:val="000000"/>
        </w:rPr>
      </w:pPr>
      <w:r>
        <w:rPr>
          <w:rFonts w:asciiTheme="minorHAnsi" w:hAnsiTheme="minorHAnsi" w:cs="Times New Roman"/>
          <w:b/>
          <w:bCs/>
          <w:color w:val="000000"/>
        </w:rPr>
        <w:t>Proszę udzielić odpowiedzi na poniższe pytania</w:t>
      </w:r>
      <w:r w:rsidR="00A4504C">
        <w:rPr>
          <w:rFonts w:asciiTheme="minorHAnsi" w:hAnsiTheme="minorHAnsi" w:cs="Times New Roman"/>
          <w:b/>
          <w:bCs/>
          <w:color w:val="000000"/>
        </w:rPr>
        <w:t>,</w:t>
      </w:r>
      <w:r>
        <w:rPr>
          <w:rFonts w:asciiTheme="minorHAnsi" w:hAnsiTheme="minorHAnsi" w:cs="Times New Roman"/>
          <w:b/>
          <w:bCs/>
          <w:color w:val="000000"/>
        </w:rPr>
        <w:t xml:space="preserve"> odwołując się do Traktatów i orzecznictwa TSUE.</w:t>
      </w:r>
    </w:p>
    <w:p w14:paraId="6FF35B12" w14:textId="4C961918" w:rsidR="00A4504C" w:rsidRPr="007E707A" w:rsidRDefault="00757052" w:rsidP="007E707A">
      <w:pPr>
        <w:pStyle w:val="Akapitzlist"/>
        <w:numPr>
          <w:ilvl w:val="0"/>
          <w:numId w:val="2"/>
        </w:numPr>
        <w:jc w:val="both"/>
        <w:rPr>
          <w:rFonts w:asciiTheme="minorHAnsi" w:hAnsiTheme="minorHAnsi" w:cs="Times New Roman"/>
          <w:color w:val="000000"/>
        </w:rPr>
      </w:pPr>
      <w:r w:rsidRPr="00E2101D">
        <w:rPr>
          <w:rFonts w:asciiTheme="minorHAnsi" w:hAnsiTheme="minorHAnsi" w:cs="Times New Roman"/>
          <w:color w:val="000000"/>
        </w:rPr>
        <w:t xml:space="preserve">Oceń prawidłowość procedowania Komisji Europejskiej i </w:t>
      </w:r>
      <w:r w:rsidR="00545288">
        <w:rPr>
          <w:rFonts w:asciiTheme="minorHAnsi" w:hAnsiTheme="minorHAnsi" w:cs="Times New Roman"/>
          <w:color w:val="000000"/>
        </w:rPr>
        <w:t xml:space="preserve">Trybunału Sprawiedliwości </w:t>
      </w:r>
      <w:r w:rsidRPr="00E2101D">
        <w:rPr>
          <w:rFonts w:asciiTheme="minorHAnsi" w:hAnsiTheme="minorHAnsi" w:cs="Times New Roman"/>
          <w:color w:val="000000"/>
        </w:rPr>
        <w:t>w przedmiocie skargi Komisji</w:t>
      </w:r>
      <w:r w:rsidR="008A50BD">
        <w:rPr>
          <w:rFonts w:asciiTheme="minorHAnsi" w:hAnsiTheme="minorHAnsi" w:cs="Times New Roman"/>
          <w:color w:val="000000"/>
        </w:rPr>
        <w:t xml:space="preserve"> </w:t>
      </w:r>
      <w:r w:rsidR="00772B4D">
        <w:rPr>
          <w:rFonts w:asciiTheme="minorHAnsi" w:hAnsiTheme="minorHAnsi" w:cs="Times New Roman"/>
          <w:color w:val="000000"/>
        </w:rPr>
        <w:t xml:space="preserve">Europejskiej </w:t>
      </w:r>
      <w:r w:rsidR="008A50BD">
        <w:rPr>
          <w:rFonts w:asciiTheme="minorHAnsi" w:hAnsiTheme="minorHAnsi" w:cs="Times New Roman"/>
          <w:color w:val="000000"/>
        </w:rPr>
        <w:t>na Polskę</w:t>
      </w:r>
      <w:r w:rsidRPr="00E2101D">
        <w:rPr>
          <w:rFonts w:asciiTheme="minorHAnsi" w:hAnsiTheme="minorHAnsi" w:cs="Times New Roman"/>
          <w:color w:val="000000"/>
        </w:rPr>
        <w:t>.</w:t>
      </w:r>
    </w:p>
    <w:p w14:paraId="34F79F05" w14:textId="3E065F8D" w:rsidR="00772B4D" w:rsidRDefault="00545288" w:rsidP="00772B4D">
      <w:pPr>
        <w:pStyle w:val="Akapitzlist"/>
        <w:numPr>
          <w:ilvl w:val="0"/>
          <w:numId w:val="2"/>
        </w:numPr>
        <w:jc w:val="both"/>
        <w:rPr>
          <w:rFonts w:asciiTheme="minorHAnsi" w:hAnsiTheme="minorHAnsi" w:cs="Times New Roman"/>
          <w:color w:val="000000"/>
        </w:rPr>
      </w:pPr>
      <w:r w:rsidRPr="00E2101D">
        <w:rPr>
          <w:rFonts w:asciiTheme="minorHAnsi" w:hAnsiTheme="minorHAnsi" w:cs="Times New Roman"/>
          <w:color w:val="000000"/>
        </w:rPr>
        <w:t xml:space="preserve">Czy – zakładając, że w omawianym stanie faktycznym Komisja domagała się nałożenia zarówno okresowej kary pieniężnej, jak i ryczałtu – Trybunał ma możliwość / obowiązek nałożenia obu środków? Uzasadnij, odwołując się do ich funkcji. Czy Trybunał jest związany wnioskiem Komisji co do </w:t>
      </w:r>
      <w:r w:rsidR="00A34938">
        <w:rPr>
          <w:rFonts w:asciiTheme="minorHAnsi" w:hAnsiTheme="minorHAnsi" w:cs="Times New Roman"/>
          <w:color w:val="000000"/>
        </w:rPr>
        <w:t xml:space="preserve">wysokości </w:t>
      </w:r>
      <w:r w:rsidRPr="00E2101D">
        <w:rPr>
          <w:rFonts w:asciiTheme="minorHAnsi" w:hAnsiTheme="minorHAnsi" w:cs="Times New Roman"/>
          <w:color w:val="000000"/>
        </w:rPr>
        <w:t>sankcji finansowych?</w:t>
      </w:r>
    </w:p>
    <w:p w14:paraId="1FDD71FE" w14:textId="60213624" w:rsidR="007E707A" w:rsidRPr="00E2101D" w:rsidRDefault="007E707A" w:rsidP="007E707A">
      <w:pPr>
        <w:pStyle w:val="Akapitzlist"/>
        <w:numPr>
          <w:ilvl w:val="0"/>
          <w:numId w:val="2"/>
        </w:numPr>
        <w:jc w:val="both"/>
        <w:rPr>
          <w:rFonts w:asciiTheme="minorHAnsi" w:hAnsiTheme="minorHAnsi" w:cs="Times New Roman"/>
          <w:color w:val="000000"/>
        </w:rPr>
      </w:pPr>
      <w:r w:rsidRPr="00E2101D">
        <w:rPr>
          <w:rFonts w:asciiTheme="minorHAnsi" w:hAnsiTheme="minorHAnsi" w:cs="Times New Roman"/>
          <w:color w:val="000000"/>
        </w:rPr>
        <w:t>Jak trzeba by było ocenić prawidłowość postępowania Komisji Europejskiej i Europejskiego Trybunału Sprawiedliwości w przedmiocie skargi Komisji, gdyby skarga zarzucała brak powiadomienia o środkach przyjętych w celu transpozycji dyrektywy</w:t>
      </w:r>
      <w:r>
        <w:rPr>
          <w:rFonts w:asciiTheme="minorHAnsi" w:hAnsiTheme="minorHAnsi" w:cs="Times New Roman"/>
          <w:color w:val="000000"/>
        </w:rPr>
        <w:t>, a nie brak implementacji</w:t>
      </w:r>
      <w:r w:rsidRPr="00E2101D">
        <w:rPr>
          <w:rFonts w:asciiTheme="minorHAnsi" w:hAnsiTheme="minorHAnsi" w:cs="Times New Roman"/>
          <w:color w:val="000000"/>
        </w:rPr>
        <w:t xml:space="preserve">? Wskaż różnice pomiędzy tymi procedurami. </w:t>
      </w:r>
    </w:p>
    <w:p w14:paraId="0D6AE356" w14:textId="77777777" w:rsidR="007E707A" w:rsidRPr="00E2101D" w:rsidRDefault="007E707A" w:rsidP="007E707A">
      <w:pPr>
        <w:pStyle w:val="Akapitzlist"/>
        <w:numPr>
          <w:ilvl w:val="0"/>
          <w:numId w:val="2"/>
        </w:numPr>
        <w:jc w:val="both"/>
        <w:rPr>
          <w:rFonts w:asciiTheme="minorHAnsi" w:hAnsiTheme="minorHAnsi" w:cs="Times New Roman"/>
          <w:color w:val="000000"/>
        </w:rPr>
      </w:pPr>
      <w:r w:rsidRPr="00E2101D">
        <w:rPr>
          <w:rFonts w:asciiTheme="minorHAnsi" w:hAnsiTheme="minorHAnsi" w:cs="Times New Roman"/>
          <w:color w:val="000000"/>
        </w:rPr>
        <w:lastRenderedPageBreak/>
        <w:t xml:space="preserve">Czy w omawianej sytuacji dopuszczalne jest zadanie pytania prejudycjalnego przez organ administracji, jakim jest Prezes Urzędu Regulacji Energetyki? Uzasadnij odpowiedź. </w:t>
      </w:r>
    </w:p>
    <w:p w14:paraId="2BC54482" w14:textId="5F15A807" w:rsidR="008A50BD" w:rsidRDefault="008A50BD" w:rsidP="007E707A">
      <w:pPr>
        <w:pStyle w:val="Akapitzlist"/>
        <w:numPr>
          <w:ilvl w:val="0"/>
          <w:numId w:val="2"/>
        </w:numPr>
        <w:jc w:val="both"/>
        <w:rPr>
          <w:rFonts w:asciiTheme="minorHAnsi" w:hAnsiTheme="minorHAnsi" w:cs="Times New Roman"/>
          <w:color w:val="000000"/>
        </w:rPr>
      </w:pPr>
      <w:r w:rsidRPr="00E2101D">
        <w:rPr>
          <w:rFonts w:asciiTheme="minorHAnsi" w:hAnsiTheme="minorHAnsi" w:cs="Times New Roman"/>
          <w:color w:val="000000"/>
        </w:rPr>
        <w:t xml:space="preserve">Jak Trybunał Sprawiedliwości </w:t>
      </w:r>
      <w:r>
        <w:rPr>
          <w:rFonts w:asciiTheme="minorHAnsi" w:hAnsiTheme="minorHAnsi" w:cs="Times New Roman"/>
          <w:color w:val="000000"/>
        </w:rPr>
        <w:t xml:space="preserve">Unii Europejskiej </w:t>
      </w:r>
      <w:r w:rsidRPr="00E2101D">
        <w:rPr>
          <w:rFonts w:asciiTheme="minorHAnsi" w:hAnsiTheme="minorHAnsi" w:cs="Times New Roman"/>
          <w:color w:val="000000"/>
        </w:rPr>
        <w:t>powinien się zachować w przypadku podniesienia przez Polskę zarzutu nieimplementowania dyrektywy zgodnie z zasadą wzajemności - z uwagi na to, że Czechy również nie dokonały takiej implementacji, co odbiło się negatywnie na działalności polskich spółek?</w:t>
      </w:r>
      <w:r w:rsidR="00772B4D">
        <w:rPr>
          <w:rFonts w:asciiTheme="minorHAnsi" w:hAnsiTheme="minorHAnsi" w:cs="Times New Roman"/>
          <w:color w:val="000000"/>
        </w:rPr>
        <w:t xml:space="preserve"> Jak Trybunał Sprawiedliwości Unii Europejskiej powinien się zachować w przypadku podniesienia przez Polskę zarzutu siły wyższej jak opisano w kazusie?</w:t>
      </w:r>
    </w:p>
    <w:p w14:paraId="29717A86" w14:textId="77777777" w:rsidR="007E707A" w:rsidRPr="00E2101D" w:rsidRDefault="007E707A" w:rsidP="007E707A">
      <w:pPr>
        <w:pStyle w:val="Akapitzlist"/>
        <w:numPr>
          <w:ilvl w:val="0"/>
          <w:numId w:val="2"/>
        </w:numPr>
        <w:jc w:val="both"/>
        <w:rPr>
          <w:rFonts w:asciiTheme="minorHAnsi" w:hAnsiTheme="minorHAnsi" w:cs="Times New Roman"/>
          <w:color w:val="000000"/>
        </w:rPr>
      </w:pPr>
      <w:r w:rsidRPr="00E2101D">
        <w:rPr>
          <w:rFonts w:asciiTheme="minorHAnsi" w:hAnsiTheme="minorHAnsi" w:cs="Times New Roman"/>
          <w:color w:val="000000"/>
        </w:rPr>
        <w:t xml:space="preserve">Czy stanowisko ustawodawcy krajowego w zakresie pojmowania skutków zasady pierwszeństwa jest prawidłowe? Uzasadnij. </w:t>
      </w:r>
    </w:p>
    <w:p w14:paraId="6DA33692" w14:textId="50BB696D" w:rsidR="007E707A" w:rsidRPr="007E707A" w:rsidRDefault="007E707A" w:rsidP="007E707A">
      <w:pPr>
        <w:pStyle w:val="Akapitzlist"/>
        <w:numPr>
          <w:ilvl w:val="0"/>
          <w:numId w:val="2"/>
        </w:numPr>
        <w:jc w:val="both"/>
        <w:rPr>
          <w:rFonts w:asciiTheme="minorHAnsi" w:hAnsiTheme="minorHAnsi" w:cs="Times New Roman"/>
          <w:color w:val="000000"/>
        </w:rPr>
      </w:pPr>
      <w:r w:rsidRPr="00E2101D">
        <w:rPr>
          <w:rFonts w:asciiTheme="minorHAnsi" w:hAnsiTheme="minorHAnsi" w:cs="Times New Roman"/>
          <w:color w:val="000000"/>
        </w:rPr>
        <w:t xml:space="preserve"> Czy w sytuacji sprzeczności postanowień Konstytucji z prawem unijnym działa zasada pierwszeństwa? Odwołaj się do stanowiska Europejskiego Trybunału Sprawiedliwości.</w:t>
      </w:r>
    </w:p>
    <w:p w14:paraId="760F1306" w14:textId="3D807DC1" w:rsidR="00772B4D" w:rsidRPr="007E707A" w:rsidRDefault="00757052" w:rsidP="00772B4D">
      <w:pPr>
        <w:pStyle w:val="Akapitzlist"/>
        <w:numPr>
          <w:ilvl w:val="0"/>
          <w:numId w:val="2"/>
        </w:numPr>
        <w:jc w:val="both"/>
        <w:rPr>
          <w:rFonts w:asciiTheme="minorHAnsi" w:hAnsiTheme="minorHAnsi" w:cs="Times New Roman"/>
          <w:color w:val="000000"/>
        </w:rPr>
      </w:pPr>
      <w:r w:rsidRPr="00E2101D">
        <w:rPr>
          <w:rFonts w:asciiTheme="minorHAnsi" w:hAnsiTheme="minorHAnsi" w:cs="Times New Roman"/>
          <w:color w:val="000000"/>
        </w:rPr>
        <w:t>Oceń możliwość zadania przez sąd krajowy pytania prejudycjalnego dotyczącego a) wykładni postanowień dyrektywy b) ważności  przepisów Traktatu o funkcjonowaniu Unii Europejskiej dotyczących unijnej polityki energetycznej c) relacji między prawem krajowym a prawem Unii Europejskiej.</w:t>
      </w:r>
    </w:p>
    <w:p w14:paraId="30FA5E69" w14:textId="4178D036" w:rsidR="00772B4D" w:rsidRPr="007E707A" w:rsidRDefault="006224B2" w:rsidP="00772B4D">
      <w:pPr>
        <w:pStyle w:val="Akapitzlist"/>
        <w:numPr>
          <w:ilvl w:val="0"/>
          <w:numId w:val="2"/>
        </w:numPr>
        <w:jc w:val="both"/>
        <w:rPr>
          <w:rFonts w:asciiTheme="minorHAnsi" w:hAnsiTheme="minorHAnsi" w:cs="Times New Roman"/>
          <w:color w:val="000000"/>
        </w:rPr>
      </w:pPr>
      <w:r w:rsidRPr="00E2101D">
        <w:rPr>
          <w:rFonts w:asciiTheme="minorHAnsi" w:hAnsiTheme="minorHAnsi" w:cs="Times New Roman"/>
          <w:color w:val="000000"/>
        </w:rPr>
        <w:t xml:space="preserve">Czy sąd krajowy mógł w niniejszej sprawie nie wystąpić z pytaniem prejudycjalnym i samodzielnie odmówić zastosowania normy prawa krajowego sprzecznej z prawem unijnym? Czy gdyby sprawę rozpatrywał organ administracji, byłby on zobowiązany samodzielnie odmówić zastosowania normy prawa krajowego sprzecznej z prawem unijnym? </w:t>
      </w:r>
    </w:p>
    <w:p w14:paraId="3DDA57D9" w14:textId="35F66213" w:rsidR="00772B4D" w:rsidRPr="007E707A" w:rsidRDefault="006224B2" w:rsidP="00772B4D">
      <w:pPr>
        <w:pStyle w:val="Akapitzlist"/>
        <w:numPr>
          <w:ilvl w:val="0"/>
          <w:numId w:val="2"/>
        </w:numPr>
        <w:jc w:val="both"/>
        <w:rPr>
          <w:rFonts w:asciiTheme="minorHAnsi" w:hAnsiTheme="minorHAnsi" w:cs="Times New Roman"/>
          <w:color w:val="000000"/>
        </w:rPr>
      </w:pPr>
      <w:r w:rsidRPr="00E2101D">
        <w:rPr>
          <w:rFonts w:asciiTheme="minorHAnsi" w:hAnsiTheme="minorHAnsi" w:cs="Times New Roman"/>
          <w:color w:val="000000"/>
        </w:rPr>
        <w:t>Wskaż, które sądy, w przypadku zaistnienia wątpliwości, są obowiązane, a które jedynie uprawnione do wystąpienia z pytaniem prejudycjalnym.</w:t>
      </w:r>
      <w:r w:rsidR="008A50BD">
        <w:rPr>
          <w:rFonts w:asciiTheme="minorHAnsi" w:hAnsiTheme="minorHAnsi" w:cs="Times New Roman"/>
          <w:color w:val="000000"/>
        </w:rPr>
        <w:t xml:space="preserve"> </w:t>
      </w:r>
    </w:p>
    <w:p w14:paraId="19B7C391" w14:textId="0915AEC3" w:rsidR="00772B4D" w:rsidRPr="007E707A" w:rsidRDefault="008A50BD" w:rsidP="00772B4D">
      <w:pPr>
        <w:pStyle w:val="Akapitzlist"/>
        <w:numPr>
          <w:ilvl w:val="0"/>
          <w:numId w:val="2"/>
        </w:numPr>
        <w:jc w:val="both"/>
        <w:rPr>
          <w:rFonts w:asciiTheme="minorHAnsi" w:hAnsiTheme="minorHAnsi" w:cs="Times New Roman"/>
          <w:color w:val="000000"/>
        </w:rPr>
      </w:pPr>
      <w:r>
        <w:rPr>
          <w:rFonts w:asciiTheme="minorHAnsi" w:hAnsiTheme="minorHAnsi" w:cs="Times New Roman"/>
          <w:color w:val="000000"/>
        </w:rPr>
        <w:t xml:space="preserve">Czy postanowienia dyrektywy uprawniające spółkę Tani Węgiel Sp. z o.o. do odstąpienia od umów sprzedaży węgla mogą mieć bezpośredni skutek? Czy w świetle przesłanek bezpośredniego skutku dyrektyw ta spółka ma szanse na wygranie sporów z kontrahentami domagającymi się od niej odszkodowania w związku z odstąpieniem od umów sprzedaży węgla? </w:t>
      </w:r>
      <w:r w:rsidRPr="00E2101D">
        <w:rPr>
          <w:rFonts w:asciiTheme="minorHAnsi" w:hAnsiTheme="minorHAnsi" w:cs="Times New Roman"/>
          <w:color w:val="000000"/>
        </w:rPr>
        <w:t>Jak wyglądałaby sytuacja</w:t>
      </w:r>
      <w:r>
        <w:rPr>
          <w:rFonts w:asciiTheme="minorHAnsi" w:hAnsiTheme="minorHAnsi" w:cs="Times New Roman"/>
          <w:color w:val="000000"/>
        </w:rPr>
        <w:t xml:space="preserve">, </w:t>
      </w:r>
      <w:r w:rsidRPr="00E2101D">
        <w:rPr>
          <w:rFonts w:asciiTheme="minorHAnsi" w:hAnsiTheme="minorHAnsi" w:cs="Times New Roman"/>
          <w:color w:val="000000"/>
        </w:rPr>
        <w:t xml:space="preserve">gdyby </w:t>
      </w:r>
      <w:r>
        <w:rPr>
          <w:rFonts w:asciiTheme="minorHAnsi" w:hAnsiTheme="minorHAnsi" w:cs="Times New Roman"/>
          <w:color w:val="000000"/>
        </w:rPr>
        <w:t>kontrahentem spółki Tani Węgiel Sp. z o.o. była spółka państwowa?</w:t>
      </w:r>
    </w:p>
    <w:p w14:paraId="32224A7C" w14:textId="6B938EE5" w:rsidR="00772B4D" w:rsidRPr="007E707A" w:rsidRDefault="008A50BD" w:rsidP="00772B4D">
      <w:pPr>
        <w:pStyle w:val="Akapitzlist"/>
        <w:numPr>
          <w:ilvl w:val="0"/>
          <w:numId w:val="2"/>
        </w:numPr>
        <w:jc w:val="both"/>
        <w:rPr>
          <w:rFonts w:asciiTheme="minorHAnsi" w:hAnsiTheme="minorHAnsi" w:cs="Times New Roman"/>
          <w:color w:val="000000"/>
        </w:rPr>
      </w:pPr>
      <w:r w:rsidRPr="00E2101D">
        <w:rPr>
          <w:rFonts w:asciiTheme="minorHAnsi" w:hAnsiTheme="minorHAnsi" w:cs="Times New Roman"/>
          <w:color w:val="000000"/>
        </w:rPr>
        <w:t xml:space="preserve">Czy poza konstrukcją bezpośredniego skutku dyrektyw istnieje zasada pozwalająca na zastosowanie postanowień nieimplementowanej dyrektywy? Wskaż </w:t>
      </w:r>
      <w:r>
        <w:rPr>
          <w:rFonts w:asciiTheme="minorHAnsi" w:hAnsiTheme="minorHAnsi" w:cs="Times New Roman"/>
          <w:color w:val="000000"/>
        </w:rPr>
        <w:t xml:space="preserve">jej podstawowe ograniczenie </w:t>
      </w:r>
      <w:r w:rsidRPr="00E2101D">
        <w:rPr>
          <w:rFonts w:asciiTheme="minorHAnsi" w:hAnsiTheme="minorHAnsi" w:cs="Times New Roman"/>
          <w:color w:val="000000"/>
        </w:rPr>
        <w:t>(</w:t>
      </w:r>
      <w:r w:rsidRPr="008A50BD">
        <w:rPr>
          <w:rFonts w:asciiTheme="minorHAnsi" w:hAnsiTheme="minorHAnsi" w:cs="Times New Roman"/>
          <w:color w:val="000000"/>
          <w:u w:val="single"/>
        </w:rPr>
        <w:t>pytanie nie odnosi się do odpowiedzialności odszkodowawczej</w:t>
      </w:r>
      <w:r w:rsidRPr="00E2101D">
        <w:rPr>
          <w:rFonts w:asciiTheme="minorHAnsi" w:hAnsiTheme="minorHAnsi" w:cs="Times New Roman"/>
          <w:color w:val="000000"/>
        </w:rPr>
        <w:t>)</w:t>
      </w:r>
      <w:r>
        <w:rPr>
          <w:rFonts w:asciiTheme="minorHAnsi" w:hAnsiTheme="minorHAnsi" w:cs="Times New Roman"/>
          <w:color w:val="000000"/>
        </w:rPr>
        <w:t>.</w:t>
      </w:r>
    </w:p>
    <w:p w14:paraId="20AD5DA8" w14:textId="413AC311" w:rsidR="00772B4D" w:rsidRPr="007E707A" w:rsidRDefault="00757052" w:rsidP="00E42BFD">
      <w:pPr>
        <w:pStyle w:val="Akapitzlist"/>
        <w:numPr>
          <w:ilvl w:val="0"/>
          <w:numId w:val="2"/>
        </w:numPr>
        <w:jc w:val="both"/>
        <w:rPr>
          <w:rFonts w:asciiTheme="minorHAnsi" w:hAnsiTheme="minorHAnsi" w:cs="Times New Roman"/>
          <w:color w:val="000000"/>
        </w:rPr>
      </w:pPr>
      <w:r w:rsidRPr="00E2101D">
        <w:rPr>
          <w:rFonts w:asciiTheme="minorHAnsi" w:hAnsiTheme="minorHAnsi" w:cs="Times New Roman"/>
          <w:color w:val="000000"/>
        </w:rPr>
        <w:t xml:space="preserve">Jak wyglądałaby sytuacja </w:t>
      </w:r>
      <w:r w:rsidR="008A50BD">
        <w:rPr>
          <w:rFonts w:asciiTheme="minorHAnsi" w:hAnsiTheme="minorHAnsi" w:cs="Times New Roman"/>
          <w:color w:val="000000"/>
        </w:rPr>
        <w:t xml:space="preserve">ww. </w:t>
      </w:r>
      <w:r w:rsidRPr="00E2101D">
        <w:rPr>
          <w:rFonts w:asciiTheme="minorHAnsi" w:hAnsiTheme="minorHAnsi" w:cs="Times New Roman"/>
          <w:color w:val="000000"/>
        </w:rPr>
        <w:t>sporu toczonego między spółkami przed sądem krajowym, gdyby spór ten dotyczył rozporządzenia</w:t>
      </w:r>
      <w:r w:rsidR="00EB33A9">
        <w:rPr>
          <w:rFonts w:asciiTheme="minorHAnsi" w:hAnsiTheme="minorHAnsi" w:cs="Times New Roman"/>
          <w:color w:val="000000"/>
        </w:rPr>
        <w:t xml:space="preserve"> unijnego</w:t>
      </w:r>
      <w:r w:rsidRPr="00E2101D">
        <w:rPr>
          <w:rFonts w:asciiTheme="minorHAnsi" w:hAnsiTheme="minorHAnsi" w:cs="Times New Roman"/>
          <w:color w:val="000000"/>
        </w:rPr>
        <w:t xml:space="preserve"> – oceń specyfikę tego aktu prawnego w kontekście możliwości wywoływania przezeń bezpośredniego skutku. Jak wyglądałaby sytuacja sporu jednej ze spółek z organem administracji, rozpatrywanego przed sądem krajowym, gdyby spór ten dot</w:t>
      </w:r>
      <w:r w:rsidRPr="00772B4D">
        <w:rPr>
          <w:rFonts w:asciiTheme="minorHAnsi" w:hAnsiTheme="minorHAnsi" w:cs="Times New Roman"/>
          <w:color w:val="000000"/>
        </w:rPr>
        <w:t>yczył rozporządzenia</w:t>
      </w:r>
      <w:r w:rsidR="00A34938">
        <w:rPr>
          <w:rFonts w:asciiTheme="minorHAnsi" w:hAnsiTheme="minorHAnsi" w:cs="Times New Roman"/>
          <w:color w:val="000000"/>
        </w:rPr>
        <w:t xml:space="preserve"> unijnego</w:t>
      </w:r>
      <w:r w:rsidRPr="00772B4D">
        <w:rPr>
          <w:rFonts w:asciiTheme="minorHAnsi" w:hAnsiTheme="minorHAnsi" w:cs="Times New Roman"/>
          <w:color w:val="000000"/>
        </w:rPr>
        <w:t xml:space="preserve">? </w:t>
      </w:r>
    </w:p>
    <w:p w14:paraId="7A1AD335" w14:textId="0CEDDC6F" w:rsidR="007E707A" w:rsidRPr="007E707A" w:rsidRDefault="00757052" w:rsidP="007E707A">
      <w:pPr>
        <w:pStyle w:val="Akapitzlist"/>
        <w:numPr>
          <w:ilvl w:val="0"/>
          <w:numId w:val="2"/>
        </w:numPr>
        <w:jc w:val="both"/>
        <w:rPr>
          <w:rFonts w:asciiTheme="minorHAnsi" w:hAnsiTheme="minorHAnsi" w:cs="Times New Roman"/>
          <w:color w:val="000000"/>
        </w:rPr>
      </w:pPr>
      <w:r w:rsidRPr="00E2101D">
        <w:rPr>
          <w:rFonts w:asciiTheme="minorHAnsi" w:hAnsiTheme="minorHAnsi" w:cs="Times New Roman"/>
          <w:color w:val="000000"/>
        </w:rPr>
        <w:t xml:space="preserve">Oceń stanowisko sądów krajowych uzależniające odmowę zastosowania postanowień </w:t>
      </w:r>
      <w:r w:rsidR="008A50BD">
        <w:rPr>
          <w:rFonts w:asciiTheme="minorHAnsi" w:hAnsiTheme="minorHAnsi" w:cs="Times New Roman"/>
          <w:color w:val="000000"/>
        </w:rPr>
        <w:t>ustawy</w:t>
      </w:r>
      <w:r w:rsidRPr="00E2101D">
        <w:rPr>
          <w:rFonts w:asciiTheme="minorHAnsi" w:hAnsiTheme="minorHAnsi" w:cs="Times New Roman"/>
          <w:color w:val="000000"/>
        </w:rPr>
        <w:t xml:space="preserve"> sprzecznych z prawem unijnym od ich uchylenia przez ustawodawcę krajowego ewentualnie wydania przez </w:t>
      </w:r>
      <w:r w:rsidR="008A50BD">
        <w:rPr>
          <w:rFonts w:asciiTheme="minorHAnsi" w:hAnsiTheme="minorHAnsi" w:cs="Times New Roman"/>
          <w:color w:val="000000"/>
        </w:rPr>
        <w:t xml:space="preserve">Trybunał Sprawiedliwości Unii Europejskiej </w:t>
      </w:r>
      <w:r w:rsidRPr="00E2101D">
        <w:rPr>
          <w:rFonts w:asciiTheme="minorHAnsi" w:hAnsiTheme="minorHAnsi" w:cs="Times New Roman"/>
          <w:color w:val="000000"/>
        </w:rPr>
        <w:t>odpowiedniego orzeczenia</w:t>
      </w:r>
      <w:r w:rsidR="008A50BD">
        <w:rPr>
          <w:rFonts w:asciiTheme="minorHAnsi" w:hAnsiTheme="minorHAnsi" w:cs="Times New Roman"/>
          <w:color w:val="000000"/>
        </w:rPr>
        <w:t>.</w:t>
      </w:r>
    </w:p>
    <w:p w14:paraId="74C42FFF" w14:textId="0A64E107" w:rsidR="007E707A" w:rsidRDefault="007E707A" w:rsidP="007E707A">
      <w:pPr>
        <w:pStyle w:val="Akapitzlist"/>
        <w:numPr>
          <w:ilvl w:val="0"/>
          <w:numId w:val="2"/>
        </w:numPr>
        <w:jc w:val="both"/>
        <w:rPr>
          <w:rFonts w:asciiTheme="minorHAnsi" w:hAnsiTheme="minorHAnsi" w:cs="Times New Roman"/>
          <w:color w:val="000000"/>
        </w:rPr>
      </w:pPr>
      <w:r w:rsidRPr="00E2101D">
        <w:rPr>
          <w:rFonts w:asciiTheme="minorHAnsi" w:hAnsiTheme="minorHAnsi" w:cs="Times New Roman"/>
          <w:color w:val="000000"/>
        </w:rPr>
        <w:t>Jakie są w tym przypadku przesłanki dochodzenia przez spółkę</w:t>
      </w:r>
      <w:r>
        <w:rPr>
          <w:rFonts w:asciiTheme="minorHAnsi" w:hAnsiTheme="minorHAnsi" w:cs="Times New Roman"/>
          <w:color w:val="000000"/>
        </w:rPr>
        <w:t xml:space="preserve"> Tani Węgiel Sp. z o.o.</w:t>
      </w:r>
      <w:r w:rsidRPr="00E2101D">
        <w:rPr>
          <w:rFonts w:asciiTheme="minorHAnsi" w:hAnsiTheme="minorHAnsi" w:cs="Times New Roman"/>
          <w:color w:val="000000"/>
        </w:rPr>
        <w:t xml:space="preserve"> odpowiedzialności odszkodowawczej państwa członkowskiego za naruszenie prawa unijnego?</w:t>
      </w:r>
    </w:p>
    <w:p w14:paraId="5F2A7016" w14:textId="77777777" w:rsidR="007E707A" w:rsidRPr="007E707A" w:rsidRDefault="007E707A" w:rsidP="007E707A">
      <w:pPr>
        <w:jc w:val="both"/>
        <w:rPr>
          <w:rFonts w:asciiTheme="minorHAnsi" w:hAnsiTheme="minorHAnsi" w:cs="Times New Roman"/>
          <w:color w:val="000000"/>
        </w:rPr>
      </w:pPr>
    </w:p>
    <w:sectPr w:rsidR="007E707A" w:rsidRPr="007E707A" w:rsidSect="00E42BFD">
      <w:footerReference w:type="default" r:id="rId7"/>
      <w:pgSz w:w="11906" w:h="16838"/>
      <w:pgMar w:top="709" w:right="1133" w:bottom="568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5BD389" w14:textId="77777777" w:rsidR="00C959CF" w:rsidRDefault="00C959CF" w:rsidP="004A6A23">
      <w:pPr>
        <w:spacing w:after="0" w:line="240" w:lineRule="auto"/>
      </w:pPr>
      <w:r>
        <w:separator/>
      </w:r>
    </w:p>
  </w:endnote>
  <w:endnote w:type="continuationSeparator" w:id="0">
    <w:p w14:paraId="3AC59E27" w14:textId="77777777" w:rsidR="00C959CF" w:rsidRDefault="00C959CF" w:rsidP="004A6A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B39C88" w14:textId="77777777" w:rsidR="00757052" w:rsidRDefault="00D66C38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221B8D">
      <w:rPr>
        <w:noProof/>
      </w:rPr>
      <w:t>4</w:t>
    </w:r>
    <w:r>
      <w:rPr>
        <w:noProof/>
      </w:rPr>
      <w:fldChar w:fldCharType="end"/>
    </w:r>
  </w:p>
  <w:p w14:paraId="2388DFC1" w14:textId="77777777" w:rsidR="00757052" w:rsidRDefault="0075705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C3DAB2" w14:textId="77777777" w:rsidR="00C959CF" w:rsidRDefault="00C959CF" w:rsidP="004A6A23">
      <w:pPr>
        <w:spacing w:after="0" w:line="240" w:lineRule="auto"/>
      </w:pPr>
      <w:r>
        <w:separator/>
      </w:r>
    </w:p>
  </w:footnote>
  <w:footnote w:type="continuationSeparator" w:id="0">
    <w:p w14:paraId="5FBC59B1" w14:textId="77777777" w:rsidR="00C959CF" w:rsidRDefault="00C959CF" w:rsidP="004A6A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762140"/>
    <w:multiLevelType w:val="hybridMultilevel"/>
    <w:tmpl w:val="5FF6EA28"/>
    <w:lvl w:ilvl="0" w:tplc="5536538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3265498"/>
    <w:multiLevelType w:val="hybridMultilevel"/>
    <w:tmpl w:val="C56A1E9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CE213A"/>
    <w:multiLevelType w:val="hybridMultilevel"/>
    <w:tmpl w:val="7AB0175E"/>
    <w:lvl w:ilvl="0" w:tplc="B498DCAC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9857AE"/>
    <w:multiLevelType w:val="hybridMultilevel"/>
    <w:tmpl w:val="DC3442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8A3CDF"/>
    <w:multiLevelType w:val="hybridMultilevel"/>
    <w:tmpl w:val="2CFE4FE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0D080B"/>
    <w:multiLevelType w:val="hybridMultilevel"/>
    <w:tmpl w:val="5F16251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486266"/>
    <w:multiLevelType w:val="hybridMultilevel"/>
    <w:tmpl w:val="7896AE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4875127"/>
    <w:multiLevelType w:val="hybridMultilevel"/>
    <w:tmpl w:val="205A9C7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625960185">
    <w:abstractNumId w:val="7"/>
  </w:num>
  <w:num w:numId="2" w16cid:durableId="1782261027">
    <w:abstractNumId w:val="2"/>
  </w:num>
  <w:num w:numId="3" w16cid:durableId="105346315">
    <w:abstractNumId w:val="5"/>
  </w:num>
  <w:num w:numId="4" w16cid:durableId="1289050243">
    <w:abstractNumId w:val="6"/>
  </w:num>
  <w:num w:numId="5" w16cid:durableId="319625780">
    <w:abstractNumId w:val="4"/>
  </w:num>
  <w:num w:numId="6" w16cid:durableId="830368690">
    <w:abstractNumId w:val="1"/>
  </w:num>
  <w:num w:numId="7" w16cid:durableId="486632867">
    <w:abstractNumId w:val="3"/>
  </w:num>
  <w:num w:numId="8" w16cid:durableId="18417737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4"/>
  <w:embedSystemFonts/>
  <w:proofState w:spelling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73CE"/>
    <w:rsid w:val="000045B2"/>
    <w:rsid w:val="00007844"/>
    <w:rsid w:val="00016DF1"/>
    <w:rsid w:val="000212C0"/>
    <w:rsid w:val="00024659"/>
    <w:rsid w:val="0002669A"/>
    <w:rsid w:val="00027B10"/>
    <w:rsid w:val="00034841"/>
    <w:rsid w:val="00035916"/>
    <w:rsid w:val="00036A0B"/>
    <w:rsid w:val="00051FAA"/>
    <w:rsid w:val="00052201"/>
    <w:rsid w:val="00054E5A"/>
    <w:rsid w:val="00055A1D"/>
    <w:rsid w:val="00055EC6"/>
    <w:rsid w:val="00073581"/>
    <w:rsid w:val="00080285"/>
    <w:rsid w:val="000820CC"/>
    <w:rsid w:val="000869C1"/>
    <w:rsid w:val="00096DA4"/>
    <w:rsid w:val="000A21BC"/>
    <w:rsid w:val="000A2D1C"/>
    <w:rsid w:val="000A6691"/>
    <w:rsid w:val="000A7942"/>
    <w:rsid w:val="000B1F1D"/>
    <w:rsid w:val="000C1534"/>
    <w:rsid w:val="000C5FAF"/>
    <w:rsid w:val="000D4283"/>
    <w:rsid w:val="000D783C"/>
    <w:rsid w:val="000E1942"/>
    <w:rsid w:val="001038D5"/>
    <w:rsid w:val="00107E1E"/>
    <w:rsid w:val="001127A5"/>
    <w:rsid w:val="001257F4"/>
    <w:rsid w:val="00125992"/>
    <w:rsid w:val="00125E03"/>
    <w:rsid w:val="001305C1"/>
    <w:rsid w:val="00130B5D"/>
    <w:rsid w:val="00131FC0"/>
    <w:rsid w:val="00133B9C"/>
    <w:rsid w:val="00133D8D"/>
    <w:rsid w:val="0013529D"/>
    <w:rsid w:val="001513CA"/>
    <w:rsid w:val="001540AC"/>
    <w:rsid w:val="00157CB8"/>
    <w:rsid w:val="0016260F"/>
    <w:rsid w:val="0016606F"/>
    <w:rsid w:val="00171DA0"/>
    <w:rsid w:val="00172461"/>
    <w:rsid w:val="00181A38"/>
    <w:rsid w:val="00183195"/>
    <w:rsid w:val="00187B9D"/>
    <w:rsid w:val="001B0A3E"/>
    <w:rsid w:val="001B27AE"/>
    <w:rsid w:val="001C408C"/>
    <w:rsid w:val="001D3BF4"/>
    <w:rsid w:val="001E3EBB"/>
    <w:rsid w:val="001E74FD"/>
    <w:rsid w:val="001F3784"/>
    <w:rsid w:val="00203325"/>
    <w:rsid w:val="0020460E"/>
    <w:rsid w:val="00204B1A"/>
    <w:rsid w:val="00205E99"/>
    <w:rsid w:val="0021393D"/>
    <w:rsid w:val="00221B8D"/>
    <w:rsid w:val="00221E2B"/>
    <w:rsid w:val="00227627"/>
    <w:rsid w:val="00233CA3"/>
    <w:rsid w:val="00234A01"/>
    <w:rsid w:val="00237B23"/>
    <w:rsid w:val="00250E31"/>
    <w:rsid w:val="002515F1"/>
    <w:rsid w:val="002545DA"/>
    <w:rsid w:val="002548CD"/>
    <w:rsid w:val="002634DC"/>
    <w:rsid w:val="00265C04"/>
    <w:rsid w:val="00270E9D"/>
    <w:rsid w:val="0027578A"/>
    <w:rsid w:val="00281D8F"/>
    <w:rsid w:val="00287F14"/>
    <w:rsid w:val="00296B1A"/>
    <w:rsid w:val="00297C50"/>
    <w:rsid w:val="002A3CD3"/>
    <w:rsid w:val="002A55C5"/>
    <w:rsid w:val="002B4BC5"/>
    <w:rsid w:val="002B4EA1"/>
    <w:rsid w:val="002C2BBE"/>
    <w:rsid w:val="002C721B"/>
    <w:rsid w:val="002D3E85"/>
    <w:rsid w:val="002D54A9"/>
    <w:rsid w:val="002D5EBE"/>
    <w:rsid w:val="002E76D6"/>
    <w:rsid w:val="002F125A"/>
    <w:rsid w:val="002F283A"/>
    <w:rsid w:val="002F4127"/>
    <w:rsid w:val="002F4BC3"/>
    <w:rsid w:val="003020FE"/>
    <w:rsid w:val="00302EE6"/>
    <w:rsid w:val="00320A36"/>
    <w:rsid w:val="00327B7D"/>
    <w:rsid w:val="0033395B"/>
    <w:rsid w:val="00336CB8"/>
    <w:rsid w:val="00337E91"/>
    <w:rsid w:val="003426F4"/>
    <w:rsid w:val="00343BC1"/>
    <w:rsid w:val="00364878"/>
    <w:rsid w:val="00367312"/>
    <w:rsid w:val="00374903"/>
    <w:rsid w:val="00377C3E"/>
    <w:rsid w:val="003854A4"/>
    <w:rsid w:val="003869D8"/>
    <w:rsid w:val="0038794D"/>
    <w:rsid w:val="003909FE"/>
    <w:rsid w:val="00390DB8"/>
    <w:rsid w:val="003A060D"/>
    <w:rsid w:val="003A169C"/>
    <w:rsid w:val="003A7CA0"/>
    <w:rsid w:val="003B2772"/>
    <w:rsid w:val="003B2BFE"/>
    <w:rsid w:val="003C1600"/>
    <w:rsid w:val="003C26D0"/>
    <w:rsid w:val="003C35ED"/>
    <w:rsid w:val="003C7F30"/>
    <w:rsid w:val="003D1AD8"/>
    <w:rsid w:val="003D2461"/>
    <w:rsid w:val="003D5874"/>
    <w:rsid w:val="003E226C"/>
    <w:rsid w:val="003E7D52"/>
    <w:rsid w:val="0041120F"/>
    <w:rsid w:val="00415243"/>
    <w:rsid w:val="0041595A"/>
    <w:rsid w:val="0043456C"/>
    <w:rsid w:val="00442C1D"/>
    <w:rsid w:val="0047127E"/>
    <w:rsid w:val="00472479"/>
    <w:rsid w:val="0048374E"/>
    <w:rsid w:val="004A03BE"/>
    <w:rsid w:val="004A34CD"/>
    <w:rsid w:val="004A4673"/>
    <w:rsid w:val="004A6A23"/>
    <w:rsid w:val="004B7B6E"/>
    <w:rsid w:val="004C2712"/>
    <w:rsid w:val="004C5AFD"/>
    <w:rsid w:val="004E4C1F"/>
    <w:rsid w:val="004F0AF0"/>
    <w:rsid w:val="004F2324"/>
    <w:rsid w:val="00504243"/>
    <w:rsid w:val="00527648"/>
    <w:rsid w:val="00527B4A"/>
    <w:rsid w:val="00536806"/>
    <w:rsid w:val="00543831"/>
    <w:rsid w:val="00544D5A"/>
    <w:rsid w:val="00545288"/>
    <w:rsid w:val="00551A73"/>
    <w:rsid w:val="00552D5C"/>
    <w:rsid w:val="005547C1"/>
    <w:rsid w:val="0055786A"/>
    <w:rsid w:val="0056231F"/>
    <w:rsid w:val="00565AAC"/>
    <w:rsid w:val="0057440F"/>
    <w:rsid w:val="00580002"/>
    <w:rsid w:val="005A0D81"/>
    <w:rsid w:val="005A20B6"/>
    <w:rsid w:val="005A276D"/>
    <w:rsid w:val="005A6915"/>
    <w:rsid w:val="005A696B"/>
    <w:rsid w:val="005A6AC5"/>
    <w:rsid w:val="005A6F8B"/>
    <w:rsid w:val="005B62BF"/>
    <w:rsid w:val="005C73CE"/>
    <w:rsid w:val="005D1497"/>
    <w:rsid w:val="005D6C40"/>
    <w:rsid w:val="005F5870"/>
    <w:rsid w:val="005F7581"/>
    <w:rsid w:val="00602359"/>
    <w:rsid w:val="0060289E"/>
    <w:rsid w:val="006224B2"/>
    <w:rsid w:val="006241CE"/>
    <w:rsid w:val="0063042A"/>
    <w:rsid w:val="00630BD5"/>
    <w:rsid w:val="006609F2"/>
    <w:rsid w:val="00665CEC"/>
    <w:rsid w:val="00674D46"/>
    <w:rsid w:val="00680225"/>
    <w:rsid w:val="006810C2"/>
    <w:rsid w:val="006866F8"/>
    <w:rsid w:val="00690907"/>
    <w:rsid w:val="006978F3"/>
    <w:rsid w:val="006A352B"/>
    <w:rsid w:val="006A5197"/>
    <w:rsid w:val="006B6775"/>
    <w:rsid w:val="006C1BA9"/>
    <w:rsid w:val="006C45C5"/>
    <w:rsid w:val="006C6538"/>
    <w:rsid w:val="006D014A"/>
    <w:rsid w:val="006D4AD0"/>
    <w:rsid w:val="006D5726"/>
    <w:rsid w:val="006D66FC"/>
    <w:rsid w:val="006E1D49"/>
    <w:rsid w:val="006E2D23"/>
    <w:rsid w:val="006E30CB"/>
    <w:rsid w:val="006E625A"/>
    <w:rsid w:val="006E7046"/>
    <w:rsid w:val="006F7459"/>
    <w:rsid w:val="00702229"/>
    <w:rsid w:val="007038EA"/>
    <w:rsid w:val="00703BED"/>
    <w:rsid w:val="007049A2"/>
    <w:rsid w:val="007116CF"/>
    <w:rsid w:val="0071777B"/>
    <w:rsid w:val="007260C1"/>
    <w:rsid w:val="00731CA6"/>
    <w:rsid w:val="007405CE"/>
    <w:rsid w:val="00740800"/>
    <w:rsid w:val="007417DA"/>
    <w:rsid w:val="0074184F"/>
    <w:rsid w:val="007503C8"/>
    <w:rsid w:val="007538B0"/>
    <w:rsid w:val="00755DE6"/>
    <w:rsid w:val="00757052"/>
    <w:rsid w:val="00760237"/>
    <w:rsid w:val="0076169C"/>
    <w:rsid w:val="007632F9"/>
    <w:rsid w:val="00765C86"/>
    <w:rsid w:val="00767A43"/>
    <w:rsid w:val="00772B4D"/>
    <w:rsid w:val="0078061D"/>
    <w:rsid w:val="00783869"/>
    <w:rsid w:val="00783ADC"/>
    <w:rsid w:val="0079088D"/>
    <w:rsid w:val="00791412"/>
    <w:rsid w:val="00794E6D"/>
    <w:rsid w:val="007A13FB"/>
    <w:rsid w:val="007A3FAF"/>
    <w:rsid w:val="007A6E30"/>
    <w:rsid w:val="007B33D0"/>
    <w:rsid w:val="007B48CB"/>
    <w:rsid w:val="007C545D"/>
    <w:rsid w:val="007C5713"/>
    <w:rsid w:val="007D4596"/>
    <w:rsid w:val="007E202E"/>
    <w:rsid w:val="007E2F20"/>
    <w:rsid w:val="007E3CF6"/>
    <w:rsid w:val="007E707A"/>
    <w:rsid w:val="007F16DE"/>
    <w:rsid w:val="007F2CBE"/>
    <w:rsid w:val="007F58D1"/>
    <w:rsid w:val="0080074B"/>
    <w:rsid w:val="00801771"/>
    <w:rsid w:val="0080400B"/>
    <w:rsid w:val="00817368"/>
    <w:rsid w:val="00823F8E"/>
    <w:rsid w:val="008252E2"/>
    <w:rsid w:val="00826DDA"/>
    <w:rsid w:val="008349B5"/>
    <w:rsid w:val="00841067"/>
    <w:rsid w:val="00853686"/>
    <w:rsid w:val="00854F7E"/>
    <w:rsid w:val="00867117"/>
    <w:rsid w:val="00870DA6"/>
    <w:rsid w:val="0087518F"/>
    <w:rsid w:val="0087572E"/>
    <w:rsid w:val="008819A3"/>
    <w:rsid w:val="0088434D"/>
    <w:rsid w:val="008843D3"/>
    <w:rsid w:val="00886FF6"/>
    <w:rsid w:val="0089151C"/>
    <w:rsid w:val="008921EE"/>
    <w:rsid w:val="00897AF8"/>
    <w:rsid w:val="008A1474"/>
    <w:rsid w:val="008A50BD"/>
    <w:rsid w:val="008A705E"/>
    <w:rsid w:val="008C2180"/>
    <w:rsid w:val="008C34C4"/>
    <w:rsid w:val="008C5D85"/>
    <w:rsid w:val="008D24E8"/>
    <w:rsid w:val="008D5886"/>
    <w:rsid w:val="008D7AC1"/>
    <w:rsid w:val="008E0FD0"/>
    <w:rsid w:val="008E229E"/>
    <w:rsid w:val="008E40EF"/>
    <w:rsid w:val="008F17D5"/>
    <w:rsid w:val="008F3138"/>
    <w:rsid w:val="008F46DC"/>
    <w:rsid w:val="008F4B41"/>
    <w:rsid w:val="008F4D37"/>
    <w:rsid w:val="008F6F82"/>
    <w:rsid w:val="009035B7"/>
    <w:rsid w:val="009049A1"/>
    <w:rsid w:val="009060FC"/>
    <w:rsid w:val="00910496"/>
    <w:rsid w:val="00912FAF"/>
    <w:rsid w:val="00916598"/>
    <w:rsid w:val="00917D74"/>
    <w:rsid w:val="0092385F"/>
    <w:rsid w:val="00925795"/>
    <w:rsid w:val="0093119E"/>
    <w:rsid w:val="0094214C"/>
    <w:rsid w:val="00944E7E"/>
    <w:rsid w:val="00957B7F"/>
    <w:rsid w:val="00960013"/>
    <w:rsid w:val="00960D4A"/>
    <w:rsid w:val="00961B1C"/>
    <w:rsid w:val="00974216"/>
    <w:rsid w:val="00980104"/>
    <w:rsid w:val="00982325"/>
    <w:rsid w:val="0098302C"/>
    <w:rsid w:val="00994FE1"/>
    <w:rsid w:val="009971D0"/>
    <w:rsid w:val="009A3FD6"/>
    <w:rsid w:val="009B1F39"/>
    <w:rsid w:val="009B1FAC"/>
    <w:rsid w:val="009B30E6"/>
    <w:rsid w:val="009C3F46"/>
    <w:rsid w:val="009D432D"/>
    <w:rsid w:val="009E3430"/>
    <w:rsid w:val="009E3D8E"/>
    <w:rsid w:val="009E4198"/>
    <w:rsid w:val="009E5C2A"/>
    <w:rsid w:val="009F0682"/>
    <w:rsid w:val="009F0A12"/>
    <w:rsid w:val="009F3D9A"/>
    <w:rsid w:val="009F56E3"/>
    <w:rsid w:val="009F5E46"/>
    <w:rsid w:val="009F7285"/>
    <w:rsid w:val="00A033BD"/>
    <w:rsid w:val="00A033C8"/>
    <w:rsid w:val="00A2374D"/>
    <w:rsid w:val="00A23C7F"/>
    <w:rsid w:val="00A2511A"/>
    <w:rsid w:val="00A3173A"/>
    <w:rsid w:val="00A341E9"/>
    <w:rsid w:val="00A342BF"/>
    <w:rsid w:val="00A345FC"/>
    <w:rsid w:val="00A34938"/>
    <w:rsid w:val="00A3565D"/>
    <w:rsid w:val="00A4216C"/>
    <w:rsid w:val="00A4504C"/>
    <w:rsid w:val="00A60111"/>
    <w:rsid w:val="00A67EC8"/>
    <w:rsid w:val="00A7104C"/>
    <w:rsid w:val="00A711DA"/>
    <w:rsid w:val="00A74856"/>
    <w:rsid w:val="00A8371E"/>
    <w:rsid w:val="00A849D6"/>
    <w:rsid w:val="00A85831"/>
    <w:rsid w:val="00A8745F"/>
    <w:rsid w:val="00A90427"/>
    <w:rsid w:val="00A92605"/>
    <w:rsid w:val="00AA7C1F"/>
    <w:rsid w:val="00AB0AC1"/>
    <w:rsid w:val="00AB776B"/>
    <w:rsid w:val="00AC3853"/>
    <w:rsid w:val="00AE01D6"/>
    <w:rsid w:val="00AE441F"/>
    <w:rsid w:val="00AE5E4A"/>
    <w:rsid w:val="00AF1025"/>
    <w:rsid w:val="00AF1BC7"/>
    <w:rsid w:val="00B002D3"/>
    <w:rsid w:val="00B02822"/>
    <w:rsid w:val="00B05576"/>
    <w:rsid w:val="00B07FB5"/>
    <w:rsid w:val="00B22091"/>
    <w:rsid w:val="00B23BA1"/>
    <w:rsid w:val="00B27726"/>
    <w:rsid w:val="00B31E03"/>
    <w:rsid w:val="00B33682"/>
    <w:rsid w:val="00B33791"/>
    <w:rsid w:val="00B43888"/>
    <w:rsid w:val="00B47810"/>
    <w:rsid w:val="00B504DD"/>
    <w:rsid w:val="00B525A9"/>
    <w:rsid w:val="00B57C05"/>
    <w:rsid w:val="00B63A55"/>
    <w:rsid w:val="00B83A85"/>
    <w:rsid w:val="00B84748"/>
    <w:rsid w:val="00B84768"/>
    <w:rsid w:val="00B90AFE"/>
    <w:rsid w:val="00B92484"/>
    <w:rsid w:val="00B926BE"/>
    <w:rsid w:val="00B93043"/>
    <w:rsid w:val="00B96424"/>
    <w:rsid w:val="00B9777F"/>
    <w:rsid w:val="00B97862"/>
    <w:rsid w:val="00BA1DD1"/>
    <w:rsid w:val="00BA243F"/>
    <w:rsid w:val="00BA2EF7"/>
    <w:rsid w:val="00BA6289"/>
    <w:rsid w:val="00BA64EF"/>
    <w:rsid w:val="00BB2CE6"/>
    <w:rsid w:val="00BB358F"/>
    <w:rsid w:val="00BB5FC8"/>
    <w:rsid w:val="00BC10FB"/>
    <w:rsid w:val="00BC6A5B"/>
    <w:rsid w:val="00BC738F"/>
    <w:rsid w:val="00BD15A9"/>
    <w:rsid w:val="00BD3331"/>
    <w:rsid w:val="00BE1E49"/>
    <w:rsid w:val="00BE454D"/>
    <w:rsid w:val="00BE6CB2"/>
    <w:rsid w:val="00BF3FC3"/>
    <w:rsid w:val="00BF64BF"/>
    <w:rsid w:val="00BF66D7"/>
    <w:rsid w:val="00C03A3C"/>
    <w:rsid w:val="00C14FE2"/>
    <w:rsid w:val="00C16567"/>
    <w:rsid w:val="00C173AB"/>
    <w:rsid w:val="00C2317F"/>
    <w:rsid w:val="00C324E7"/>
    <w:rsid w:val="00C40BB9"/>
    <w:rsid w:val="00C52348"/>
    <w:rsid w:val="00C55965"/>
    <w:rsid w:val="00C55F73"/>
    <w:rsid w:val="00C74B76"/>
    <w:rsid w:val="00C757B3"/>
    <w:rsid w:val="00C75EF1"/>
    <w:rsid w:val="00C776CD"/>
    <w:rsid w:val="00C800BD"/>
    <w:rsid w:val="00C829D8"/>
    <w:rsid w:val="00C95644"/>
    <w:rsid w:val="00C959CF"/>
    <w:rsid w:val="00C97CD0"/>
    <w:rsid w:val="00CA1141"/>
    <w:rsid w:val="00CB38EB"/>
    <w:rsid w:val="00CB6E4D"/>
    <w:rsid w:val="00CC351B"/>
    <w:rsid w:val="00CC71DD"/>
    <w:rsid w:val="00CD0566"/>
    <w:rsid w:val="00CD22D8"/>
    <w:rsid w:val="00CD3299"/>
    <w:rsid w:val="00CD5C31"/>
    <w:rsid w:val="00CD60FC"/>
    <w:rsid w:val="00CD7973"/>
    <w:rsid w:val="00CE1466"/>
    <w:rsid w:val="00CE5A0C"/>
    <w:rsid w:val="00CE5CF5"/>
    <w:rsid w:val="00CF43F8"/>
    <w:rsid w:val="00D00D2F"/>
    <w:rsid w:val="00D1460B"/>
    <w:rsid w:val="00D15EAD"/>
    <w:rsid w:val="00D2123C"/>
    <w:rsid w:val="00D2262C"/>
    <w:rsid w:val="00D33CFD"/>
    <w:rsid w:val="00D34698"/>
    <w:rsid w:val="00D3669B"/>
    <w:rsid w:val="00D600CE"/>
    <w:rsid w:val="00D641AE"/>
    <w:rsid w:val="00D66C38"/>
    <w:rsid w:val="00D6793F"/>
    <w:rsid w:val="00D7233D"/>
    <w:rsid w:val="00D72D26"/>
    <w:rsid w:val="00D73C9D"/>
    <w:rsid w:val="00D7597D"/>
    <w:rsid w:val="00D76730"/>
    <w:rsid w:val="00D814ED"/>
    <w:rsid w:val="00D82447"/>
    <w:rsid w:val="00D834E2"/>
    <w:rsid w:val="00D84052"/>
    <w:rsid w:val="00D9303C"/>
    <w:rsid w:val="00DA21B5"/>
    <w:rsid w:val="00DA22F5"/>
    <w:rsid w:val="00DA5407"/>
    <w:rsid w:val="00DA68FA"/>
    <w:rsid w:val="00DB2254"/>
    <w:rsid w:val="00DB23B0"/>
    <w:rsid w:val="00DC5A4B"/>
    <w:rsid w:val="00DD2521"/>
    <w:rsid w:val="00DD40FA"/>
    <w:rsid w:val="00DD6ACF"/>
    <w:rsid w:val="00DE4DE9"/>
    <w:rsid w:val="00DE7859"/>
    <w:rsid w:val="00E00BFC"/>
    <w:rsid w:val="00E0190F"/>
    <w:rsid w:val="00E01F4B"/>
    <w:rsid w:val="00E07DB1"/>
    <w:rsid w:val="00E106CC"/>
    <w:rsid w:val="00E17C88"/>
    <w:rsid w:val="00E2101D"/>
    <w:rsid w:val="00E258A9"/>
    <w:rsid w:val="00E27ACC"/>
    <w:rsid w:val="00E32C19"/>
    <w:rsid w:val="00E34EB0"/>
    <w:rsid w:val="00E3706C"/>
    <w:rsid w:val="00E42BFD"/>
    <w:rsid w:val="00E46779"/>
    <w:rsid w:val="00E55DD6"/>
    <w:rsid w:val="00E6575D"/>
    <w:rsid w:val="00E6743D"/>
    <w:rsid w:val="00E7212E"/>
    <w:rsid w:val="00E73A30"/>
    <w:rsid w:val="00E751B2"/>
    <w:rsid w:val="00E825D5"/>
    <w:rsid w:val="00E91487"/>
    <w:rsid w:val="00E91D41"/>
    <w:rsid w:val="00E951AE"/>
    <w:rsid w:val="00E97BB2"/>
    <w:rsid w:val="00EB2327"/>
    <w:rsid w:val="00EB33A9"/>
    <w:rsid w:val="00EB6C7B"/>
    <w:rsid w:val="00EB73C3"/>
    <w:rsid w:val="00EC5D7B"/>
    <w:rsid w:val="00ED0EF2"/>
    <w:rsid w:val="00ED36A3"/>
    <w:rsid w:val="00EE0A52"/>
    <w:rsid w:val="00EE0F7F"/>
    <w:rsid w:val="00EE48FB"/>
    <w:rsid w:val="00EF07D8"/>
    <w:rsid w:val="00EF1184"/>
    <w:rsid w:val="00EF57A2"/>
    <w:rsid w:val="00EF72C9"/>
    <w:rsid w:val="00F004C2"/>
    <w:rsid w:val="00F015D3"/>
    <w:rsid w:val="00F03219"/>
    <w:rsid w:val="00F1560F"/>
    <w:rsid w:val="00F17C6C"/>
    <w:rsid w:val="00F260EE"/>
    <w:rsid w:val="00F30F11"/>
    <w:rsid w:val="00F53085"/>
    <w:rsid w:val="00F55D4A"/>
    <w:rsid w:val="00F57E7F"/>
    <w:rsid w:val="00F6073D"/>
    <w:rsid w:val="00F60ED4"/>
    <w:rsid w:val="00F61E7C"/>
    <w:rsid w:val="00F63B59"/>
    <w:rsid w:val="00F63F0A"/>
    <w:rsid w:val="00F64652"/>
    <w:rsid w:val="00F649AE"/>
    <w:rsid w:val="00F666E9"/>
    <w:rsid w:val="00F75B44"/>
    <w:rsid w:val="00F7747D"/>
    <w:rsid w:val="00F80567"/>
    <w:rsid w:val="00F81DC9"/>
    <w:rsid w:val="00FB1270"/>
    <w:rsid w:val="00FB3155"/>
    <w:rsid w:val="00FB7493"/>
    <w:rsid w:val="00FC2644"/>
    <w:rsid w:val="00FC30F4"/>
    <w:rsid w:val="00FC492B"/>
    <w:rsid w:val="00FC799A"/>
    <w:rsid w:val="00FD3608"/>
    <w:rsid w:val="00FD3973"/>
    <w:rsid w:val="00FD5809"/>
    <w:rsid w:val="00FD7681"/>
    <w:rsid w:val="00FE26D6"/>
    <w:rsid w:val="00FE5271"/>
    <w:rsid w:val="00FF20FA"/>
    <w:rsid w:val="00FF2176"/>
    <w:rsid w:val="00FF2B3D"/>
    <w:rsid w:val="00FF3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AF513C"/>
  <w15:docId w15:val="{9ADEBC6A-8D49-4072-A214-C7F180BAB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7578A"/>
    <w:pPr>
      <w:spacing w:after="200" w:line="276" w:lineRule="auto"/>
    </w:pPr>
    <w:rPr>
      <w:rFonts w:cs="Calibri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C73CE"/>
    <w:pPr>
      <w:ind w:left="720"/>
    </w:pPr>
  </w:style>
  <w:style w:type="paragraph" w:styleId="Nagwek">
    <w:name w:val="header"/>
    <w:basedOn w:val="Normalny"/>
    <w:link w:val="NagwekZnak"/>
    <w:uiPriority w:val="99"/>
    <w:rsid w:val="004A6A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4A6A23"/>
  </w:style>
  <w:style w:type="paragraph" w:styleId="Stopka">
    <w:name w:val="footer"/>
    <w:basedOn w:val="Normalny"/>
    <w:link w:val="StopkaZnak"/>
    <w:uiPriority w:val="99"/>
    <w:rsid w:val="004A6A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4A6A23"/>
  </w:style>
  <w:style w:type="paragraph" w:styleId="Tekstprzypisukocowego">
    <w:name w:val="endnote text"/>
    <w:basedOn w:val="Normalny"/>
    <w:link w:val="TekstprzypisukocowegoZnak"/>
    <w:uiPriority w:val="99"/>
    <w:semiHidden/>
    <w:rsid w:val="00C5234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C52348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rsid w:val="00C52348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rsid w:val="002D5E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2D5EB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1004</Words>
  <Characters>6024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KAZUSY Z PRAWA UNIJNEGO</vt:lpstr>
    </vt:vector>
  </TitlesOfParts>
  <Company/>
  <LinksUpToDate>false</LinksUpToDate>
  <CharactersWithSpaces>7014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KAZUSY Z PRAWA UNIJNEGO</dc:title>
  <dc:creator>Ilona</dc:creator>
  <cp:lastModifiedBy>Ilona Przybojewska</cp:lastModifiedBy>
  <cp:revision>8</cp:revision>
  <cp:lastPrinted>2013-10-29T07:03:00Z</cp:lastPrinted>
  <dcterms:created xsi:type="dcterms:W3CDTF">2025-02-23T10:36:00Z</dcterms:created>
  <dcterms:modified xsi:type="dcterms:W3CDTF">2025-03-23T18:14:00Z</dcterms:modified>
</cp:coreProperties>
</file>