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6B9D25" w14:textId="28D9157E" w:rsidR="00B047F7" w:rsidRPr="00945770" w:rsidRDefault="001E36A6" w:rsidP="00945770">
      <w:pPr>
        <w:spacing w:line="240" w:lineRule="auto"/>
        <w:jc w:val="right"/>
        <w:rPr>
          <w:rFonts w:ascii="Times New Roman" w:hAnsi="Times New Roman" w:cs="Times New Roman"/>
          <w:i/>
        </w:rPr>
      </w:pPr>
      <w:r>
        <w:rPr>
          <w:rFonts w:ascii="Times New Roman" w:hAnsi="Times New Roman" w:cs="Times New Roman"/>
          <w:i/>
        </w:rPr>
        <w:t xml:space="preserve">dr </w:t>
      </w:r>
      <w:r w:rsidR="00122A7A">
        <w:rPr>
          <w:rFonts w:ascii="Times New Roman" w:hAnsi="Times New Roman" w:cs="Times New Roman"/>
          <w:i/>
        </w:rPr>
        <w:t xml:space="preserve">hab. </w:t>
      </w:r>
      <w:r w:rsidR="00B047F7" w:rsidRPr="00945770">
        <w:rPr>
          <w:rFonts w:ascii="Times New Roman" w:hAnsi="Times New Roman" w:cs="Times New Roman"/>
          <w:i/>
        </w:rPr>
        <w:t>Ilona Przybojewska</w:t>
      </w:r>
    </w:p>
    <w:p w14:paraId="497892EC" w14:textId="77777777" w:rsidR="00B047F7" w:rsidRPr="00945770" w:rsidRDefault="00B047F7" w:rsidP="00945770">
      <w:pPr>
        <w:spacing w:line="240" w:lineRule="auto"/>
        <w:jc w:val="right"/>
        <w:rPr>
          <w:rFonts w:ascii="Times New Roman" w:hAnsi="Times New Roman" w:cs="Times New Roman"/>
          <w:i/>
        </w:rPr>
      </w:pPr>
    </w:p>
    <w:p w14:paraId="31A93297" w14:textId="77777777" w:rsidR="00B047F7" w:rsidRPr="00945770" w:rsidRDefault="00B047F7" w:rsidP="00945770">
      <w:pPr>
        <w:spacing w:line="240" w:lineRule="auto"/>
        <w:jc w:val="center"/>
        <w:rPr>
          <w:rFonts w:ascii="Times New Roman" w:hAnsi="Times New Roman" w:cs="Times New Roman"/>
          <w:b/>
        </w:rPr>
      </w:pPr>
      <w:r w:rsidRPr="00945770">
        <w:rPr>
          <w:rFonts w:ascii="Times New Roman" w:hAnsi="Times New Roman" w:cs="Times New Roman"/>
          <w:b/>
        </w:rPr>
        <w:t>SKRYPT Z PRAWA USTROJOWEGO UNII EUROPEJSKIEJ</w:t>
      </w:r>
    </w:p>
    <w:p w14:paraId="43068FF1" w14:textId="77777777" w:rsidR="00B047F7" w:rsidRPr="00945770" w:rsidRDefault="00B047F7" w:rsidP="00945770">
      <w:pPr>
        <w:spacing w:line="240" w:lineRule="auto"/>
        <w:jc w:val="center"/>
        <w:rPr>
          <w:rFonts w:ascii="Times New Roman" w:hAnsi="Times New Roman" w:cs="Times New Roman"/>
          <w:b/>
        </w:rPr>
      </w:pPr>
      <w:r w:rsidRPr="00945770">
        <w:rPr>
          <w:rFonts w:ascii="Times New Roman" w:hAnsi="Times New Roman" w:cs="Times New Roman"/>
          <w:b/>
        </w:rPr>
        <w:t>(TRAKTAT O UNII EUROPEJSKIEJ I TRAKTAT O FUNKCJONOWANIU UNII EUROPEJSKIEJ)</w:t>
      </w:r>
    </w:p>
    <w:p w14:paraId="6DCCD628" w14:textId="77777777" w:rsidR="00B047F7" w:rsidRPr="00945770" w:rsidRDefault="00B047F7" w:rsidP="00945770">
      <w:pPr>
        <w:pStyle w:val="Akapitzlist"/>
        <w:numPr>
          <w:ilvl w:val="0"/>
          <w:numId w:val="1"/>
        </w:numPr>
        <w:spacing w:line="240" w:lineRule="auto"/>
        <w:jc w:val="both"/>
        <w:rPr>
          <w:rFonts w:ascii="Times New Roman" w:hAnsi="Times New Roman" w:cs="Times New Roman"/>
          <w:u w:val="single"/>
        </w:rPr>
      </w:pPr>
      <w:r w:rsidRPr="00945770">
        <w:rPr>
          <w:rFonts w:ascii="Times New Roman" w:hAnsi="Times New Roman" w:cs="Times New Roman"/>
          <w:u w:val="single"/>
        </w:rPr>
        <w:t>Postanowienia ogólne</w:t>
      </w:r>
    </w:p>
    <w:p w14:paraId="6640B2EA" w14:textId="77777777" w:rsidR="00B047F7" w:rsidRPr="00945770" w:rsidRDefault="00B047F7" w:rsidP="00945770">
      <w:pPr>
        <w:spacing w:line="240" w:lineRule="auto"/>
        <w:jc w:val="both"/>
        <w:rPr>
          <w:rFonts w:ascii="Times New Roman" w:hAnsi="Times New Roman" w:cs="Times New Roman"/>
          <w:b/>
        </w:rPr>
      </w:pPr>
      <w:r w:rsidRPr="00945770">
        <w:rPr>
          <w:rFonts w:ascii="Times New Roman" w:hAnsi="Times New Roman" w:cs="Times New Roman"/>
          <w:b/>
        </w:rPr>
        <w:t>Art. 3 TUE</w:t>
      </w:r>
    </w:p>
    <w:p w14:paraId="5B1CBAE9" w14:textId="77777777" w:rsidR="00B047F7" w:rsidRPr="00945770" w:rsidRDefault="00B047F7" w:rsidP="00945770">
      <w:pPr>
        <w:spacing w:line="240" w:lineRule="auto"/>
        <w:jc w:val="both"/>
        <w:rPr>
          <w:rFonts w:ascii="Times New Roman" w:hAnsi="Times New Roman" w:cs="Times New Roman"/>
          <w:i/>
        </w:rPr>
      </w:pPr>
      <w:r w:rsidRPr="00945770">
        <w:rPr>
          <w:rFonts w:ascii="Times New Roman" w:hAnsi="Times New Roman" w:cs="Times New Roman"/>
          <w:i/>
        </w:rPr>
        <w:t>Oba te Traktaty mają taką samą moc prawną. Unia zastępuje Wspólnotę Europejską i jest jej następcą prawnym.</w:t>
      </w:r>
    </w:p>
    <w:p w14:paraId="783B58CE" w14:textId="77777777" w:rsidR="000F4304" w:rsidRPr="00945770" w:rsidRDefault="000F4304" w:rsidP="00945770">
      <w:pPr>
        <w:spacing w:line="240" w:lineRule="auto"/>
        <w:jc w:val="both"/>
        <w:rPr>
          <w:rFonts w:ascii="Times New Roman" w:hAnsi="Times New Roman" w:cs="Times New Roman"/>
          <w:b/>
        </w:rPr>
      </w:pPr>
      <w:r w:rsidRPr="00945770">
        <w:rPr>
          <w:rFonts w:ascii="Times New Roman" w:hAnsi="Times New Roman" w:cs="Times New Roman"/>
          <w:b/>
        </w:rPr>
        <w:t>Art. 4 TUE</w:t>
      </w:r>
    </w:p>
    <w:p w14:paraId="17CAC0B6" w14:textId="77777777" w:rsidR="00BF7E3E" w:rsidRPr="00945770" w:rsidRDefault="00BF7E3E"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zasada lojalności</w:t>
      </w:r>
    </w:p>
    <w:p w14:paraId="584FD2EB" w14:textId="77777777" w:rsidR="00BF7E3E" w:rsidRPr="00945770" w:rsidRDefault="00BF7E3E" w:rsidP="00945770">
      <w:pPr>
        <w:pStyle w:val="NormalnyWeb"/>
        <w:jc w:val="both"/>
        <w:rPr>
          <w:rFonts w:eastAsiaTheme="minorHAnsi"/>
          <w:b/>
          <w:i/>
          <w:sz w:val="22"/>
          <w:szCs w:val="22"/>
          <w:u w:val="single"/>
          <w:lang w:eastAsia="en-US"/>
        </w:rPr>
      </w:pPr>
      <w:r w:rsidRPr="00945770">
        <w:rPr>
          <w:rFonts w:eastAsiaTheme="minorHAnsi"/>
          <w:i/>
          <w:sz w:val="22"/>
          <w:szCs w:val="22"/>
          <w:lang w:eastAsia="en-US"/>
        </w:rPr>
        <w:t xml:space="preserve">3. </w:t>
      </w:r>
      <w:r w:rsidRPr="00945770">
        <w:rPr>
          <w:rFonts w:eastAsiaTheme="minorHAnsi"/>
          <w:b/>
          <w:i/>
          <w:sz w:val="22"/>
          <w:szCs w:val="22"/>
          <w:u w:val="single"/>
          <w:lang w:eastAsia="en-US"/>
        </w:rPr>
        <w:t>Zgodnie z zasadą lojalnej współpracy Unia i Państwa Członkowskie wzajemnie się szanują i udzielają sobie wzajemnego wsparcia w wykonywaniu zadań wynikających z Traktatów.</w:t>
      </w:r>
    </w:p>
    <w:p w14:paraId="095B622F" w14:textId="77777777" w:rsidR="00BF7E3E" w:rsidRPr="00945770" w:rsidRDefault="00BF7E3E" w:rsidP="00945770">
      <w:pPr>
        <w:pStyle w:val="NormalnyWeb"/>
        <w:jc w:val="both"/>
        <w:rPr>
          <w:rFonts w:eastAsiaTheme="minorHAnsi"/>
          <w:i/>
          <w:sz w:val="22"/>
          <w:szCs w:val="22"/>
          <w:lang w:eastAsia="en-US"/>
        </w:rPr>
      </w:pPr>
      <w:r w:rsidRPr="00945770">
        <w:rPr>
          <w:rFonts w:eastAsiaTheme="minorHAnsi"/>
          <w:i/>
          <w:sz w:val="22"/>
          <w:szCs w:val="22"/>
          <w:lang w:eastAsia="en-US"/>
        </w:rPr>
        <w:t>Państwa Członkowskie podejmują wszelkie środki ogólne lub szczególne właściwe dla zapewnienia wykonania zobowiązań wynikających z Traktatów lub aktów instytucji Unii.</w:t>
      </w:r>
    </w:p>
    <w:p w14:paraId="11D24C44" w14:textId="77777777" w:rsidR="00BF7E3E" w:rsidRPr="00945770" w:rsidRDefault="00BF7E3E" w:rsidP="00945770">
      <w:pPr>
        <w:pStyle w:val="NormalnyWeb"/>
        <w:jc w:val="both"/>
        <w:rPr>
          <w:rFonts w:eastAsiaTheme="minorHAnsi"/>
          <w:i/>
          <w:sz w:val="22"/>
          <w:szCs w:val="22"/>
          <w:lang w:eastAsia="en-US"/>
        </w:rPr>
      </w:pPr>
      <w:r w:rsidRPr="00945770">
        <w:rPr>
          <w:rFonts w:eastAsiaTheme="minorHAnsi"/>
          <w:i/>
          <w:sz w:val="22"/>
          <w:szCs w:val="22"/>
          <w:lang w:eastAsia="en-US"/>
        </w:rPr>
        <w:t>Państwa Członkowskie ułatwiają wypełnianie przez Unię jej zadań i powstrzymują się od podejmowania wszelkich środków, które mogłyby zagrażać urzeczywistnieniu celów Unii.</w:t>
      </w:r>
    </w:p>
    <w:p w14:paraId="4BC4801B" w14:textId="77777777" w:rsidR="00BF7E3E" w:rsidRPr="00945770" w:rsidRDefault="00BF7E3E" w:rsidP="00945770">
      <w:pPr>
        <w:pStyle w:val="NormalnyWeb"/>
        <w:rPr>
          <w:b/>
          <w:sz w:val="22"/>
          <w:szCs w:val="22"/>
        </w:rPr>
      </w:pPr>
      <w:r w:rsidRPr="00945770">
        <w:rPr>
          <w:b/>
          <w:sz w:val="22"/>
          <w:szCs w:val="22"/>
        </w:rPr>
        <w:t>Art. 5 TUE</w:t>
      </w:r>
    </w:p>
    <w:p w14:paraId="4C735683" w14:textId="77777777" w:rsidR="00BF7E3E" w:rsidRPr="00945770" w:rsidRDefault="00BF7E3E" w:rsidP="00945770">
      <w:pPr>
        <w:pStyle w:val="NormalnyWeb"/>
        <w:numPr>
          <w:ilvl w:val="0"/>
          <w:numId w:val="3"/>
        </w:numPr>
        <w:rPr>
          <w:b/>
          <w:sz w:val="22"/>
          <w:szCs w:val="22"/>
        </w:rPr>
      </w:pPr>
      <w:r w:rsidRPr="00945770">
        <w:rPr>
          <w:b/>
          <w:sz w:val="22"/>
          <w:szCs w:val="22"/>
        </w:rPr>
        <w:t>zasada przyznania oraz zasady pomocniczości i proporcjonalności</w:t>
      </w:r>
    </w:p>
    <w:p w14:paraId="7FCABD19" w14:textId="77777777" w:rsidR="00BF7E3E" w:rsidRPr="00945770" w:rsidRDefault="00BF7E3E" w:rsidP="00945770">
      <w:pPr>
        <w:pStyle w:val="NormalnyWeb"/>
        <w:jc w:val="both"/>
        <w:rPr>
          <w:i/>
          <w:sz w:val="22"/>
          <w:szCs w:val="22"/>
        </w:rPr>
      </w:pPr>
      <w:r w:rsidRPr="00945770">
        <w:rPr>
          <w:i/>
          <w:sz w:val="22"/>
          <w:szCs w:val="22"/>
        </w:rPr>
        <w:t xml:space="preserve">1. </w:t>
      </w:r>
      <w:r w:rsidRPr="00945770">
        <w:rPr>
          <w:b/>
          <w:i/>
          <w:sz w:val="22"/>
          <w:szCs w:val="22"/>
          <w:u w:val="single"/>
        </w:rPr>
        <w:t>Granice kompetencji Unii wyznacza zasada przyznania. Wykonywanie tych kompetencji podlega zasadom pomocniczości i proporcjonalności.</w:t>
      </w:r>
    </w:p>
    <w:p w14:paraId="1FC55C4C" w14:textId="77777777" w:rsidR="00BF7E3E" w:rsidRPr="00945770" w:rsidRDefault="00BF7E3E" w:rsidP="00945770">
      <w:pPr>
        <w:pStyle w:val="NormalnyWeb"/>
        <w:jc w:val="both"/>
        <w:rPr>
          <w:b/>
          <w:i/>
          <w:sz w:val="22"/>
          <w:szCs w:val="22"/>
          <w:u w:val="single"/>
        </w:rPr>
      </w:pPr>
      <w:r w:rsidRPr="00945770">
        <w:rPr>
          <w:i/>
          <w:sz w:val="22"/>
          <w:szCs w:val="22"/>
        </w:rPr>
        <w:t xml:space="preserve">2. </w:t>
      </w:r>
      <w:r w:rsidRPr="00945770">
        <w:rPr>
          <w:b/>
          <w:i/>
          <w:sz w:val="22"/>
          <w:szCs w:val="22"/>
          <w:u w:val="single"/>
        </w:rPr>
        <w:t>Zgodnie z zasadą przyznania Unia działa wyłącznie w granicach kompetencji przyznanych jej przez Państwa Członkowskie w Traktatach do osiągnięcia określonych w nich celów. Wszelkie kompetencje nieprzyznane Unii w Traktatach należą do Państw Członkowskich.</w:t>
      </w:r>
    </w:p>
    <w:p w14:paraId="71729EF5" w14:textId="77777777" w:rsidR="00BF7E3E" w:rsidRPr="00945770" w:rsidRDefault="00BF7E3E" w:rsidP="00945770">
      <w:pPr>
        <w:pStyle w:val="NormalnyWeb"/>
        <w:jc w:val="both"/>
        <w:rPr>
          <w:b/>
          <w:i/>
          <w:sz w:val="22"/>
          <w:szCs w:val="22"/>
          <w:u w:val="single"/>
        </w:rPr>
      </w:pPr>
      <w:r w:rsidRPr="00945770">
        <w:rPr>
          <w:i/>
          <w:sz w:val="22"/>
          <w:szCs w:val="22"/>
        </w:rPr>
        <w:t xml:space="preserve">3. </w:t>
      </w:r>
      <w:r w:rsidRPr="00945770">
        <w:rPr>
          <w:b/>
          <w:i/>
          <w:sz w:val="22"/>
          <w:szCs w:val="22"/>
          <w:u w:val="single"/>
        </w:rPr>
        <w:t xml:space="preserve">Zgodnie z zasadą pomocniczości, </w:t>
      </w:r>
      <w:r w:rsidRPr="00945770">
        <w:rPr>
          <w:b/>
          <w:i/>
          <w:sz w:val="22"/>
          <w:szCs w:val="22"/>
          <w:highlight w:val="green"/>
          <w:u w:val="single"/>
        </w:rPr>
        <w:t>w dziedzinach, które nie należą do jej wyłącznej kompetencji</w:t>
      </w:r>
      <w:r w:rsidRPr="00945770">
        <w:rPr>
          <w:b/>
          <w:i/>
          <w:sz w:val="22"/>
          <w:szCs w:val="22"/>
          <w:u w:val="single"/>
        </w:rPr>
        <w:t>, Unia podejmuje działania tylko wówczas i tylko w takim zakresie, w jakim cele zamierzonego działania nie mogą zostać osiągnięte w sposób wystarczający przez Państwa Członkowskie, zarówno na poziomie centralnym, jak i regionalnym oraz lokalnym, i jeśli ze względu na rozmiary lub skutki proponowanego działania możliwe jest lepsze ich osiągnięcie na poziomie Unii.</w:t>
      </w:r>
    </w:p>
    <w:p w14:paraId="5549048E" w14:textId="77777777" w:rsidR="00BF7E3E" w:rsidRPr="00945770" w:rsidRDefault="00BF7E3E" w:rsidP="00945770">
      <w:pPr>
        <w:pStyle w:val="NormalnyWeb"/>
        <w:jc w:val="both"/>
        <w:rPr>
          <w:i/>
          <w:sz w:val="22"/>
          <w:szCs w:val="22"/>
        </w:rPr>
      </w:pPr>
      <w:r w:rsidRPr="00945770">
        <w:rPr>
          <w:i/>
          <w:sz w:val="22"/>
          <w:szCs w:val="22"/>
        </w:rPr>
        <w:t>Instytucje Unii stosują zasadę pomocniczości zgodnie z Protokołem w sprawie stosowania zasad pomocniczości i proporcjonalności. Parlamenty narodowe czuwają nad przestrzeganiem zasady pomocniczości zgodnie z procedurą przewidzianą w tym protokole.</w:t>
      </w:r>
    </w:p>
    <w:p w14:paraId="6D40969F" w14:textId="77777777" w:rsidR="00BF7E3E" w:rsidRPr="00945770" w:rsidRDefault="00BF7E3E" w:rsidP="00945770">
      <w:pPr>
        <w:pStyle w:val="NormalnyWeb"/>
        <w:jc w:val="both"/>
        <w:rPr>
          <w:i/>
          <w:sz w:val="22"/>
          <w:szCs w:val="22"/>
        </w:rPr>
      </w:pPr>
      <w:r w:rsidRPr="00945770">
        <w:rPr>
          <w:i/>
          <w:sz w:val="22"/>
          <w:szCs w:val="22"/>
        </w:rPr>
        <w:t xml:space="preserve">4. </w:t>
      </w:r>
      <w:r w:rsidRPr="00945770">
        <w:rPr>
          <w:b/>
          <w:i/>
          <w:sz w:val="22"/>
          <w:szCs w:val="22"/>
          <w:u w:val="single"/>
        </w:rPr>
        <w:t>Zgodnie z zasadą proporcjonalności zakres i forma działania Unii nie wykraczają poza to, co jest konieczne do osiągnięcia celów Traktatów.</w:t>
      </w:r>
    </w:p>
    <w:p w14:paraId="61DF4633" w14:textId="77777777" w:rsidR="00BF7E3E" w:rsidRDefault="00BF7E3E" w:rsidP="00945770">
      <w:pPr>
        <w:pStyle w:val="NormalnyWeb"/>
        <w:jc w:val="both"/>
        <w:rPr>
          <w:i/>
          <w:sz w:val="22"/>
          <w:szCs w:val="22"/>
        </w:rPr>
      </w:pPr>
      <w:r w:rsidRPr="00945770">
        <w:rPr>
          <w:i/>
          <w:sz w:val="22"/>
          <w:szCs w:val="22"/>
        </w:rPr>
        <w:t>Instytucje Unii stosują zasadę proporcjonalności zgodnie z Protokołem w sprawie stosowania zasad pomocniczości i proporcjonalności.</w:t>
      </w:r>
    </w:p>
    <w:p w14:paraId="4D94F6DB" w14:textId="77777777" w:rsidR="00832CD1" w:rsidRPr="00945770" w:rsidRDefault="00832CD1" w:rsidP="00945770">
      <w:pPr>
        <w:pStyle w:val="NormalnyWeb"/>
        <w:jc w:val="both"/>
        <w:rPr>
          <w:i/>
          <w:sz w:val="22"/>
          <w:szCs w:val="22"/>
        </w:rPr>
      </w:pPr>
    </w:p>
    <w:p w14:paraId="66CF11B6" w14:textId="77777777" w:rsidR="001631AA" w:rsidRPr="00945770" w:rsidRDefault="001631AA" w:rsidP="00945770">
      <w:pPr>
        <w:pStyle w:val="NormalnyWeb"/>
        <w:numPr>
          <w:ilvl w:val="0"/>
          <w:numId w:val="3"/>
        </w:numPr>
        <w:jc w:val="both"/>
        <w:rPr>
          <w:b/>
          <w:sz w:val="22"/>
          <w:szCs w:val="22"/>
        </w:rPr>
      </w:pPr>
      <w:r w:rsidRPr="00945770">
        <w:rPr>
          <w:b/>
          <w:sz w:val="22"/>
          <w:szCs w:val="22"/>
        </w:rPr>
        <w:lastRenderedPageBreak/>
        <w:t>kategorie kompetencji Unii Europejskiej</w:t>
      </w:r>
    </w:p>
    <w:p w14:paraId="30E7715F" w14:textId="77777777" w:rsidR="001631AA" w:rsidRPr="00945770" w:rsidRDefault="001631AA" w:rsidP="00945770">
      <w:pPr>
        <w:pStyle w:val="NormalnyWeb"/>
        <w:jc w:val="both"/>
        <w:rPr>
          <w:b/>
          <w:sz w:val="22"/>
          <w:szCs w:val="22"/>
        </w:rPr>
      </w:pPr>
      <w:r w:rsidRPr="00945770">
        <w:rPr>
          <w:b/>
          <w:sz w:val="22"/>
          <w:szCs w:val="22"/>
        </w:rPr>
        <w:t xml:space="preserve">Art. 2 </w:t>
      </w:r>
      <w:proofErr w:type="spellStart"/>
      <w:r w:rsidRPr="00945770">
        <w:rPr>
          <w:b/>
          <w:sz w:val="22"/>
          <w:szCs w:val="22"/>
        </w:rPr>
        <w:t>TfUE</w:t>
      </w:r>
      <w:proofErr w:type="spellEnd"/>
    </w:p>
    <w:p w14:paraId="39F525D3"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1. Jeżeli Traktaty przyznają Unii wyłączną kompetencję w określonej dziedzinie, jedynie Unia może stanowić prawo oraz przyjmować akty prawnie wiążące, natomiast Państwa Członkowskie mogą to czynić wyłącznie z upoważnienia Unii lub w celu wykonania aktów Unii.</w:t>
      </w:r>
    </w:p>
    <w:p w14:paraId="0CB8E11A"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 xml:space="preserve">2. </w:t>
      </w:r>
      <w:r w:rsidRPr="001631AA">
        <w:rPr>
          <w:rFonts w:ascii="Times New Roman" w:eastAsia="Times New Roman" w:hAnsi="Times New Roman" w:cs="Times New Roman"/>
          <w:b/>
          <w:i/>
          <w:u w:val="single"/>
          <w:lang w:eastAsia="pl-PL"/>
        </w:rPr>
        <w:t>Jeżeli Traktaty przyznają Unii w określonej dziedzinie kompetencję dzieloną z Państwami Członkowskimi, Unia i Państwa Członkowskie mogą stanowić prawo i przyjmować akty prawnie wiążące w tej dziedzinie. Państwa Członkowskie wykonują swoją kompetencję w zakresie, w jakim Unia nie wykonała swojej kompetencji. Państwa Członkowskie ponownie wykonują swoją kompetencję w zakresie, w jakim Unia postanowiła zaprzestać wykonywania swojej kompetencji.</w:t>
      </w:r>
    </w:p>
    <w:p w14:paraId="2BA066EE"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3. Państwa Członkowskie koordynują swoje polityki gospodarcze i zatrudnienia na zasadach przewidzianych w niniejszym Traktacie, do których określenia Unia ma kompetencję.</w:t>
      </w:r>
    </w:p>
    <w:p w14:paraId="4399930D"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4. Zgodnie z postanowieniami Traktatu o Unii Europejskiej Unia ma kompetencję w zakresie określania i realizowania wspólnej polityki zagranicznej i bezpieczeństwa, w tym stopniowego określania wspólnej polityki obronnej.</w:t>
      </w:r>
    </w:p>
    <w:p w14:paraId="75AB2459"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5. W niektórych dziedzinach i na warunkach przewidzianych w Traktatach, Unia ma kompetencję w zakresie prowadzenia działań w celu wspierania, koordynowania lub uzupełniania działań Państw Członkowskich, nie zastępując jednak ich kompetencji w tych dziedzinach.</w:t>
      </w:r>
    </w:p>
    <w:p w14:paraId="419E673D"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Prawnie wiążące akty Unii przyjęte na podstawie postanowień Traktatów odnoszących się do tych dziedzin nie mogą prowadzić do harmonizacji przepisów ustawowych i wykonawczych Państw Członkowskich.</w:t>
      </w:r>
    </w:p>
    <w:p w14:paraId="74EB6134"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6. Zakres i warunki wykonywania kompetencji Unii określają postanowienia Traktatów odnoszące się do każdej dziedziny.</w:t>
      </w:r>
    </w:p>
    <w:p w14:paraId="04FD0420" w14:textId="77777777" w:rsidR="001631AA" w:rsidRPr="001631AA" w:rsidRDefault="001631AA" w:rsidP="00945770">
      <w:pPr>
        <w:pStyle w:val="NormalnyWeb"/>
        <w:jc w:val="both"/>
        <w:rPr>
          <w:b/>
          <w:sz w:val="22"/>
          <w:szCs w:val="22"/>
        </w:rPr>
      </w:pPr>
      <w:r w:rsidRPr="00945770">
        <w:rPr>
          <w:b/>
          <w:sz w:val="22"/>
          <w:szCs w:val="22"/>
        </w:rPr>
        <w:t xml:space="preserve">Art. 3 </w:t>
      </w:r>
      <w:proofErr w:type="spellStart"/>
      <w:r w:rsidRPr="00945770">
        <w:rPr>
          <w:b/>
          <w:sz w:val="22"/>
          <w:szCs w:val="22"/>
        </w:rPr>
        <w:t>TfUE</w:t>
      </w:r>
      <w:proofErr w:type="spellEnd"/>
    </w:p>
    <w:p w14:paraId="7993F964"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 xml:space="preserve">1. Unia ma </w:t>
      </w:r>
      <w:r w:rsidRPr="001631AA">
        <w:rPr>
          <w:rFonts w:ascii="Times New Roman" w:eastAsia="Times New Roman" w:hAnsi="Times New Roman" w:cs="Times New Roman"/>
          <w:b/>
          <w:i/>
          <w:u w:val="single"/>
          <w:lang w:eastAsia="pl-PL"/>
        </w:rPr>
        <w:t>wyłączne kompetencje</w:t>
      </w:r>
      <w:r w:rsidRPr="001631AA">
        <w:rPr>
          <w:rFonts w:ascii="Times New Roman" w:eastAsia="Times New Roman" w:hAnsi="Times New Roman" w:cs="Times New Roman"/>
          <w:i/>
          <w:lang w:eastAsia="pl-PL"/>
        </w:rPr>
        <w:t xml:space="preserve"> w następujących dziedzinach:</w:t>
      </w:r>
    </w:p>
    <w:p w14:paraId="3CD37341" w14:textId="77777777" w:rsidR="001631AA" w:rsidRPr="001631AA" w:rsidRDefault="001631AA" w:rsidP="00945770">
      <w:pPr>
        <w:spacing w:after="0" w:line="240" w:lineRule="auto"/>
        <w:ind w:left="720"/>
        <w:jc w:val="both"/>
        <w:rPr>
          <w:rFonts w:ascii="Times New Roman" w:eastAsia="Times New Roman" w:hAnsi="Times New Roman" w:cs="Times New Roman"/>
          <w:b/>
          <w:i/>
          <w:u w:val="single"/>
          <w:lang w:eastAsia="pl-PL"/>
        </w:rPr>
      </w:pPr>
      <w:r w:rsidRPr="001631AA">
        <w:rPr>
          <w:rFonts w:ascii="Times New Roman" w:eastAsia="Times New Roman" w:hAnsi="Times New Roman" w:cs="Times New Roman"/>
          <w:b/>
          <w:i/>
          <w:u w:val="single"/>
          <w:lang w:eastAsia="pl-PL"/>
        </w:rPr>
        <w:t xml:space="preserve">a) unia celna; </w:t>
      </w:r>
    </w:p>
    <w:p w14:paraId="16F95D42"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1631AA">
        <w:rPr>
          <w:rFonts w:ascii="Times New Roman" w:eastAsia="Times New Roman" w:hAnsi="Times New Roman" w:cs="Times New Roman"/>
          <w:b/>
          <w:i/>
          <w:u w:val="single"/>
          <w:lang w:eastAsia="pl-PL"/>
        </w:rPr>
        <w:t>b) ustanawianie reguł konkurencji niezbędnych do funkcjonowania rynku wewnętrznego;</w:t>
      </w:r>
    </w:p>
    <w:p w14:paraId="777B5BE1"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1631AA">
        <w:rPr>
          <w:rFonts w:ascii="Times New Roman" w:eastAsia="Times New Roman" w:hAnsi="Times New Roman" w:cs="Times New Roman"/>
          <w:b/>
          <w:i/>
          <w:u w:val="single"/>
          <w:lang w:eastAsia="pl-PL"/>
        </w:rPr>
        <w:t>c) polityka pieniężna w odniesieniu do Państw Członkowskich, których walutą jest euro;</w:t>
      </w:r>
    </w:p>
    <w:p w14:paraId="5280BBB3"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1631AA">
        <w:rPr>
          <w:rFonts w:ascii="Times New Roman" w:eastAsia="Times New Roman" w:hAnsi="Times New Roman" w:cs="Times New Roman"/>
          <w:b/>
          <w:i/>
          <w:u w:val="single"/>
          <w:lang w:eastAsia="pl-PL"/>
        </w:rPr>
        <w:t>d) zachowanie morskich zasobów biologicznych w ramach wspólnej polityki rybołówstwa;</w:t>
      </w:r>
    </w:p>
    <w:p w14:paraId="2FADB0B3"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1631AA">
        <w:rPr>
          <w:rFonts w:ascii="Times New Roman" w:eastAsia="Times New Roman" w:hAnsi="Times New Roman" w:cs="Times New Roman"/>
          <w:b/>
          <w:i/>
          <w:u w:val="single"/>
          <w:lang w:eastAsia="pl-PL"/>
        </w:rPr>
        <w:t>e) wspólna polityka handlowa.</w:t>
      </w:r>
    </w:p>
    <w:p w14:paraId="3560815E"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2. Unia ma także wyłączną kompetencję do zawierania umów międzynarodowych, jeżeli ich zawarcie zostało przewidziane w akcie ustawodawczym Unii lub jest niezbędne do umożliwienia Unii wykonywania jej wewnętrznych kompetencji lub w zakresie, w jakim ich zawarcie może wpływać na wspólne zasady lub zmieniać ich zakres.</w:t>
      </w:r>
    </w:p>
    <w:p w14:paraId="524FD1C8" w14:textId="77777777" w:rsidR="001631AA" w:rsidRPr="001631AA" w:rsidRDefault="001631AA" w:rsidP="00945770">
      <w:pPr>
        <w:pStyle w:val="NormalnyWeb"/>
        <w:jc w:val="both"/>
        <w:rPr>
          <w:b/>
          <w:sz w:val="22"/>
          <w:szCs w:val="22"/>
        </w:rPr>
      </w:pPr>
      <w:r w:rsidRPr="00945770">
        <w:rPr>
          <w:b/>
          <w:sz w:val="22"/>
          <w:szCs w:val="22"/>
        </w:rPr>
        <w:t xml:space="preserve">Art. 4 </w:t>
      </w:r>
      <w:proofErr w:type="spellStart"/>
      <w:r w:rsidRPr="00945770">
        <w:rPr>
          <w:b/>
          <w:sz w:val="22"/>
          <w:szCs w:val="22"/>
        </w:rPr>
        <w:t>TfUE</w:t>
      </w:r>
      <w:proofErr w:type="spellEnd"/>
    </w:p>
    <w:p w14:paraId="5B2FCF4E"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1. Unia dzieli kompetencje z Państwami Członkowskimi, jeżeli Traktaty przyznają jej kompetencje, które nie dotyczą dziedzin określonych w artykułach 3 i 6.</w:t>
      </w:r>
    </w:p>
    <w:p w14:paraId="5430C185"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lastRenderedPageBreak/>
        <w:t>2. Kompetencje dzielone między Unią a Państwami Członkowskimi stosują się do następujących głównych dziedzin:</w:t>
      </w:r>
    </w:p>
    <w:p w14:paraId="6D7CF184" w14:textId="77777777" w:rsidR="001631AA" w:rsidRPr="001631AA" w:rsidRDefault="001631AA" w:rsidP="00945770">
      <w:pPr>
        <w:spacing w:after="0"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 xml:space="preserve">a) rynek wewnętrzny; </w:t>
      </w:r>
    </w:p>
    <w:p w14:paraId="6D4A4BDD"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b) polityka społeczna w odniesieniu do aspektów określonych w niniejszym Traktacie;</w:t>
      </w:r>
    </w:p>
    <w:p w14:paraId="564D4150"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c) spójność gospodarcza, społeczna i terytorialna;</w:t>
      </w:r>
    </w:p>
    <w:p w14:paraId="6CCF86C8"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d) rolnictwo i rybołówstwo, z wyłączeniem zachowania morskich zasobów biologicznych;</w:t>
      </w:r>
    </w:p>
    <w:p w14:paraId="707295FF"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e) środowisko;</w:t>
      </w:r>
    </w:p>
    <w:p w14:paraId="76F154D7"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f) ochrona konsumentów;</w:t>
      </w:r>
    </w:p>
    <w:p w14:paraId="2350AA07"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g) transport;</w:t>
      </w:r>
    </w:p>
    <w:p w14:paraId="68979400"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h) sieci transeuropejskie;</w:t>
      </w:r>
    </w:p>
    <w:p w14:paraId="1A15AC74"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i) energia;</w:t>
      </w:r>
    </w:p>
    <w:p w14:paraId="4C85998F"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j) przestrzeń wolności, bezpieczeństwa i sprawiedliwości;</w:t>
      </w:r>
    </w:p>
    <w:p w14:paraId="3C60DE5D"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k) wspólne problemy bezpieczeństwa w zakresie zdrowia publicznego w odniesieniu do aspektów określonych w niniejszym Traktacie.</w:t>
      </w:r>
    </w:p>
    <w:p w14:paraId="6B3F6056"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3. W dziedzinach badań, rozwoju technologicznego i przestrzeni kosmicznej Unia ma kompetencje do prowadzenia działań, w szczególności do określania i realizacji programów, jednakże wykonywanie tych kompetencji nie może doprowadzić do uniemożliwienia Państwom Członkowskim wykonywania ich kompetencji.</w:t>
      </w:r>
    </w:p>
    <w:p w14:paraId="795FB92D"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4. W dziedzinach współpracy na rzecz rozwoju i pomocy humanitarnej Unia ma kompetencje do prowadzenia działań i wspólnej polityki, jednakże wykonywanie tych kompetencji nie może doprowadzić do uniemożliwienia Państwom Członkowskim wykonywania ich kompetencji.</w:t>
      </w:r>
    </w:p>
    <w:p w14:paraId="684FEFF4" w14:textId="77777777" w:rsidR="001631AA" w:rsidRPr="00945770" w:rsidRDefault="001631AA" w:rsidP="00945770">
      <w:pPr>
        <w:pStyle w:val="NormalnyWeb"/>
        <w:jc w:val="both"/>
        <w:rPr>
          <w:b/>
          <w:sz w:val="22"/>
          <w:szCs w:val="22"/>
        </w:rPr>
      </w:pPr>
      <w:r w:rsidRPr="00945770">
        <w:rPr>
          <w:b/>
          <w:sz w:val="22"/>
          <w:szCs w:val="22"/>
        </w:rPr>
        <w:t xml:space="preserve">Art. 5 </w:t>
      </w:r>
      <w:proofErr w:type="spellStart"/>
      <w:r w:rsidRPr="00945770">
        <w:rPr>
          <w:b/>
          <w:sz w:val="22"/>
          <w:szCs w:val="22"/>
        </w:rPr>
        <w:t>TfUE</w:t>
      </w:r>
      <w:proofErr w:type="spellEnd"/>
    </w:p>
    <w:p w14:paraId="5DB5402D"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1. Państwa Członkowskie koordynują swoje polityki gospodarcze w ramach Unii. W tym celu Rada przyjmuje środki, w szczególności ogólne kierunki tych polityk.</w:t>
      </w:r>
    </w:p>
    <w:p w14:paraId="0D6BE4B4"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Do Państw Członkowskich, których walutą jest euro, stosuje się postanowienia szczególne.</w:t>
      </w:r>
    </w:p>
    <w:p w14:paraId="7F318582"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2. Unia podejmuje środki w celu zapewnienia koordynacji polityk zatrudnienia Państw Członkowskich, w szczególności określając wytyczne dla tych polityk.</w:t>
      </w:r>
    </w:p>
    <w:p w14:paraId="29DBCE4E"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3. Unia może podejmować inicjatywy w celu zapewnienia koordynacji polityk społecznych Państw Członkowskich.</w:t>
      </w:r>
    </w:p>
    <w:p w14:paraId="70864666" w14:textId="77777777" w:rsidR="001631AA" w:rsidRPr="00945770" w:rsidRDefault="001631AA" w:rsidP="00945770">
      <w:pPr>
        <w:pStyle w:val="NormalnyWeb"/>
        <w:jc w:val="both"/>
        <w:rPr>
          <w:b/>
          <w:sz w:val="22"/>
          <w:szCs w:val="22"/>
        </w:rPr>
      </w:pPr>
      <w:r w:rsidRPr="00945770">
        <w:rPr>
          <w:b/>
          <w:sz w:val="22"/>
          <w:szCs w:val="22"/>
        </w:rPr>
        <w:t xml:space="preserve">Art. 6 </w:t>
      </w:r>
      <w:proofErr w:type="spellStart"/>
      <w:r w:rsidRPr="00945770">
        <w:rPr>
          <w:b/>
          <w:sz w:val="22"/>
          <w:szCs w:val="22"/>
        </w:rPr>
        <w:t>TfUE</w:t>
      </w:r>
      <w:proofErr w:type="spellEnd"/>
    </w:p>
    <w:p w14:paraId="6A479C81" w14:textId="77777777" w:rsidR="001631AA" w:rsidRPr="001631AA" w:rsidRDefault="001631AA" w:rsidP="00945770">
      <w:pPr>
        <w:spacing w:before="100" w:beforeAutospacing="1" w:after="100" w:afterAutospacing="1" w:line="240" w:lineRule="auto"/>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Unia ma kompetencje do prowadzenia działań mających na celu wspieranie, koordynowanie lub uzupełnianie działań Państw Członkowskich. Do dziedzin takich działań o wymiarze europejskim należą:</w:t>
      </w:r>
    </w:p>
    <w:p w14:paraId="584BFEF7" w14:textId="77777777" w:rsidR="001631AA" w:rsidRPr="001631AA" w:rsidRDefault="001631AA" w:rsidP="00945770">
      <w:pPr>
        <w:spacing w:after="0"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 xml:space="preserve">a) ochrona i poprawa zdrowia ludzkiego; </w:t>
      </w:r>
    </w:p>
    <w:p w14:paraId="76813E77"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lastRenderedPageBreak/>
        <w:t>b) przemysł;</w:t>
      </w:r>
    </w:p>
    <w:p w14:paraId="57465B48"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c) kultura;</w:t>
      </w:r>
    </w:p>
    <w:p w14:paraId="4128C354"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d) turystyka;</w:t>
      </w:r>
    </w:p>
    <w:p w14:paraId="53DA561D"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e) edukacja, kształcenie zawodowe, młodzież i sport;</w:t>
      </w:r>
    </w:p>
    <w:p w14:paraId="7A268640" w14:textId="77777777" w:rsidR="001631AA" w:rsidRPr="001631AA"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f) ochrona ludności;</w:t>
      </w:r>
    </w:p>
    <w:p w14:paraId="32F93EC9" w14:textId="77777777" w:rsidR="001631AA" w:rsidRPr="00945770" w:rsidRDefault="001631AA"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1631AA">
        <w:rPr>
          <w:rFonts w:ascii="Times New Roman" w:eastAsia="Times New Roman" w:hAnsi="Times New Roman" w:cs="Times New Roman"/>
          <w:i/>
          <w:lang w:eastAsia="pl-PL"/>
        </w:rPr>
        <w:t>g) współpraca administracyjna</w:t>
      </w:r>
    </w:p>
    <w:p w14:paraId="1EEA707A" w14:textId="77777777" w:rsidR="00BF7E3E" w:rsidRPr="00945770" w:rsidRDefault="00BF7E3E" w:rsidP="00945770">
      <w:pPr>
        <w:spacing w:line="240" w:lineRule="auto"/>
        <w:jc w:val="both"/>
        <w:rPr>
          <w:rFonts w:ascii="Times New Roman" w:hAnsi="Times New Roman" w:cs="Times New Roman"/>
          <w:b/>
        </w:rPr>
      </w:pPr>
      <w:r w:rsidRPr="00945770">
        <w:rPr>
          <w:rFonts w:ascii="Times New Roman" w:hAnsi="Times New Roman" w:cs="Times New Roman"/>
          <w:b/>
        </w:rPr>
        <w:t>Art. 6 TUE</w:t>
      </w:r>
    </w:p>
    <w:p w14:paraId="22E9A86D" w14:textId="77777777" w:rsidR="00BF7E3E" w:rsidRPr="00945770" w:rsidRDefault="00BF7E3E" w:rsidP="00945770">
      <w:pPr>
        <w:pStyle w:val="Akapitzlist"/>
        <w:numPr>
          <w:ilvl w:val="0"/>
          <w:numId w:val="3"/>
        </w:numPr>
        <w:spacing w:line="240" w:lineRule="auto"/>
        <w:ind w:hanging="294"/>
        <w:jc w:val="both"/>
        <w:rPr>
          <w:rFonts w:ascii="Times New Roman" w:hAnsi="Times New Roman" w:cs="Times New Roman"/>
          <w:b/>
        </w:rPr>
      </w:pPr>
      <w:r w:rsidRPr="00945770">
        <w:rPr>
          <w:rFonts w:ascii="Times New Roman" w:hAnsi="Times New Roman" w:cs="Times New Roman"/>
          <w:b/>
        </w:rPr>
        <w:t>Karta Praw Podstawowych</w:t>
      </w:r>
    </w:p>
    <w:p w14:paraId="78EF2899" w14:textId="77777777" w:rsidR="00BF7E3E" w:rsidRPr="00945770" w:rsidRDefault="00BF7E3E" w:rsidP="00945770">
      <w:pPr>
        <w:pStyle w:val="NormalnyWeb"/>
        <w:jc w:val="both"/>
        <w:rPr>
          <w:i/>
          <w:sz w:val="22"/>
          <w:szCs w:val="22"/>
        </w:rPr>
      </w:pPr>
      <w:r w:rsidRPr="00945770">
        <w:rPr>
          <w:i/>
          <w:sz w:val="22"/>
          <w:szCs w:val="22"/>
        </w:rPr>
        <w:t>1. Unia uznaje prawa, wolności i zasady określone w Karcie praw podstawowych Unii Europejskiej z 7 grudnia 2000 roku, w brzmieniu dostosowanym 12 grudnia 2007 roku w Strasburgu, która ma taką samą moc prawną jak Traktaty.</w:t>
      </w:r>
    </w:p>
    <w:p w14:paraId="09F56EF8" w14:textId="77777777" w:rsidR="00BF7E3E" w:rsidRPr="00945770" w:rsidRDefault="00BF7E3E" w:rsidP="00945770">
      <w:pPr>
        <w:pStyle w:val="NormalnyWeb"/>
        <w:jc w:val="both"/>
        <w:rPr>
          <w:b/>
          <w:i/>
          <w:sz w:val="22"/>
          <w:szCs w:val="22"/>
          <w:u w:val="single"/>
        </w:rPr>
      </w:pPr>
      <w:r w:rsidRPr="00945770">
        <w:rPr>
          <w:b/>
          <w:i/>
          <w:sz w:val="22"/>
          <w:szCs w:val="22"/>
          <w:u w:val="single"/>
        </w:rPr>
        <w:t>Postanowienia Karty w żaden sposób nie rozszerzają kompetencji Unii określonych w Traktatach.</w:t>
      </w:r>
    </w:p>
    <w:p w14:paraId="27AEDD76" w14:textId="77777777" w:rsidR="00BF7E3E" w:rsidRPr="00945770" w:rsidRDefault="00BF7E3E" w:rsidP="00945770">
      <w:pPr>
        <w:pStyle w:val="NormalnyWeb"/>
        <w:jc w:val="both"/>
        <w:rPr>
          <w:i/>
          <w:sz w:val="22"/>
          <w:szCs w:val="22"/>
        </w:rPr>
      </w:pPr>
      <w:r w:rsidRPr="00945770">
        <w:rPr>
          <w:i/>
          <w:sz w:val="22"/>
          <w:szCs w:val="22"/>
        </w:rPr>
        <w:t>Prawa, wolności i zasady zawarte w Karcie są interpretowane zgodnie z postanowieniami ogólnymi określonymi w tytule VII Karty regulującymi jej interpretację i stosowanie oraz z należytym uwzględnieniem wyjaśnień, o których mowa w Karcie, które określają źródła tych postanowień.</w:t>
      </w:r>
    </w:p>
    <w:p w14:paraId="7A72C8A3" w14:textId="77777777" w:rsidR="00BF7E3E" w:rsidRPr="00945770" w:rsidRDefault="00BF7E3E" w:rsidP="00945770">
      <w:pPr>
        <w:pStyle w:val="NormalnyWeb"/>
        <w:jc w:val="both"/>
        <w:rPr>
          <w:b/>
          <w:i/>
          <w:sz w:val="22"/>
          <w:szCs w:val="22"/>
          <w:u w:val="single"/>
        </w:rPr>
      </w:pPr>
      <w:r w:rsidRPr="00945770">
        <w:rPr>
          <w:i/>
          <w:sz w:val="22"/>
          <w:szCs w:val="22"/>
        </w:rPr>
        <w:t xml:space="preserve">2. </w:t>
      </w:r>
      <w:r w:rsidRPr="00945770">
        <w:rPr>
          <w:b/>
          <w:i/>
          <w:sz w:val="22"/>
          <w:szCs w:val="22"/>
          <w:u w:val="single"/>
        </w:rPr>
        <w:t>Unia przystępuje do europejskiej Konwencji o ochronie praw człowieka i podstawowych wolności. Przystąpienie do Konwencji nie ma wpływu na kompetencje Unii określone w Traktatach.</w:t>
      </w:r>
    </w:p>
    <w:p w14:paraId="20880E14" w14:textId="77777777" w:rsidR="00BF7E3E" w:rsidRPr="00945770" w:rsidRDefault="00BF7E3E" w:rsidP="00945770">
      <w:pPr>
        <w:pStyle w:val="NormalnyWeb"/>
        <w:jc w:val="both"/>
        <w:rPr>
          <w:i/>
          <w:sz w:val="22"/>
          <w:szCs w:val="22"/>
        </w:rPr>
      </w:pPr>
      <w:r w:rsidRPr="00945770">
        <w:rPr>
          <w:i/>
          <w:sz w:val="22"/>
          <w:szCs w:val="22"/>
        </w:rPr>
        <w:t xml:space="preserve">3. </w:t>
      </w:r>
      <w:r w:rsidRPr="00945770">
        <w:rPr>
          <w:b/>
          <w:i/>
          <w:sz w:val="22"/>
          <w:szCs w:val="22"/>
          <w:u w:val="single"/>
        </w:rPr>
        <w:t>Prawa podstawowe, zagwarantowane w europejskiej Konwencji o ochronie praw człowieka i podstawowych wolności oraz wynikające z tradycji konstytucyjnych wspólnych Państwom Członkowskim, stanowią część prawa Unii jako zasady ogólne prawa.</w:t>
      </w:r>
    </w:p>
    <w:p w14:paraId="1E90C84B" w14:textId="77777777" w:rsidR="00BF7E3E" w:rsidRPr="00945770" w:rsidRDefault="00BF7E3E" w:rsidP="00945770">
      <w:pPr>
        <w:spacing w:line="240" w:lineRule="auto"/>
        <w:jc w:val="both"/>
        <w:rPr>
          <w:rFonts w:ascii="Times New Roman" w:hAnsi="Times New Roman" w:cs="Times New Roman"/>
          <w:b/>
        </w:rPr>
      </w:pPr>
      <w:r w:rsidRPr="00945770">
        <w:rPr>
          <w:rFonts w:ascii="Times New Roman" w:hAnsi="Times New Roman" w:cs="Times New Roman"/>
          <w:b/>
        </w:rPr>
        <w:t>Art. 7 TUE</w:t>
      </w:r>
    </w:p>
    <w:p w14:paraId="3360B379" w14:textId="77777777" w:rsidR="00BF7E3E" w:rsidRPr="00945770" w:rsidRDefault="00BF7E3E"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 xml:space="preserve">naruszenie wartości Unii Europejskiej </w:t>
      </w:r>
    </w:p>
    <w:p w14:paraId="1FD1F4B6" w14:textId="77777777" w:rsidR="00BF7E3E" w:rsidRPr="00945770" w:rsidRDefault="00BF7E3E" w:rsidP="00945770">
      <w:pPr>
        <w:spacing w:line="240" w:lineRule="auto"/>
        <w:jc w:val="both"/>
        <w:rPr>
          <w:rFonts w:ascii="Times New Roman" w:hAnsi="Times New Roman" w:cs="Times New Roman"/>
        </w:rPr>
      </w:pPr>
      <w:r w:rsidRPr="00945770">
        <w:rPr>
          <w:rFonts w:ascii="Times New Roman" w:hAnsi="Times New Roman" w:cs="Times New Roman"/>
          <w:i/>
        </w:rPr>
        <w:t xml:space="preserve">Unia opiera się na wartościach poszanowania godności osoby ludzkiej, wolności, demokracji, równości, państwa prawnego, jak również poszanowania praw człowieka, w tym praw osób należących do mniejszości. Wartości te są wspólne Państwom Członkowskim w społeczeństwie opartym na pluralizmie, niedyskryminacji, tolerancji, sprawiedliwości, solidarności oraz na równości kobiet i mężczyzn </w:t>
      </w:r>
      <w:r w:rsidRPr="00945770">
        <w:rPr>
          <w:rFonts w:ascii="Times New Roman" w:hAnsi="Times New Roman" w:cs="Times New Roman"/>
        </w:rPr>
        <w:t>(art. 2 TUE).</w:t>
      </w:r>
    </w:p>
    <w:p w14:paraId="54A5B618" w14:textId="77777777" w:rsidR="00BF7E3E" w:rsidRPr="00945770" w:rsidRDefault="00BF7E3E" w:rsidP="00945770">
      <w:pPr>
        <w:pStyle w:val="NormalnyWeb"/>
        <w:jc w:val="both"/>
        <w:rPr>
          <w:i/>
          <w:sz w:val="22"/>
          <w:szCs w:val="22"/>
        </w:rPr>
      </w:pPr>
      <w:r w:rsidRPr="00945770">
        <w:rPr>
          <w:i/>
          <w:sz w:val="22"/>
          <w:szCs w:val="22"/>
        </w:rPr>
        <w:t xml:space="preserve">1. </w:t>
      </w:r>
      <w:r w:rsidRPr="00945770">
        <w:rPr>
          <w:b/>
          <w:i/>
          <w:sz w:val="22"/>
          <w:szCs w:val="22"/>
          <w:u w:val="single"/>
        </w:rPr>
        <w:t>Na uzasadniony wniosek jednej trzeciej Państw Członkowskich, Parlamentu Europejskiego lub Komisji Europejskiej, Rada, stanowiąc większością czterech piątych swych członków po uzyskaniu zgody Parlamentu Europejskiego, może stwierdzić istnienie wyraźnego ryzyka poważnego naruszenia przez Państwo Członkowskie wartości, o których mowa w artykule 2. Przed dokonaniem takiego stwierdzenia Rada wysłuchuje dane Państwo Członkowskie i, stanowiąc zgodnie z tą samą procedurą, może skierować do niego zalecenia.</w:t>
      </w:r>
    </w:p>
    <w:p w14:paraId="74479799" w14:textId="77777777" w:rsidR="00BF7E3E" w:rsidRPr="00945770" w:rsidRDefault="00BF7E3E" w:rsidP="00945770">
      <w:pPr>
        <w:pStyle w:val="NormalnyWeb"/>
        <w:jc w:val="both"/>
        <w:rPr>
          <w:i/>
          <w:sz w:val="22"/>
          <w:szCs w:val="22"/>
        </w:rPr>
      </w:pPr>
      <w:r w:rsidRPr="00945770">
        <w:rPr>
          <w:i/>
          <w:sz w:val="22"/>
          <w:szCs w:val="22"/>
        </w:rPr>
        <w:t>Rada regularnie bada, czy powody dokonania takiego stwierdzenia pozostają aktualne.</w:t>
      </w:r>
    </w:p>
    <w:p w14:paraId="798FC376" w14:textId="77777777" w:rsidR="00BF7E3E" w:rsidRPr="00945770" w:rsidRDefault="00BF7E3E" w:rsidP="00945770">
      <w:pPr>
        <w:pStyle w:val="NormalnyWeb"/>
        <w:jc w:val="both"/>
        <w:rPr>
          <w:b/>
          <w:i/>
          <w:sz w:val="22"/>
          <w:szCs w:val="22"/>
          <w:u w:val="single"/>
        </w:rPr>
      </w:pPr>
      <w:r w:rsidRPr="00945770">
        <w:rPr>
          <w:i/>
          <w:sz w:val="22"/>
          <w:szCs w:val="22"/>
        </w:rPr>
        <w:t xml:space="preserve">2. </w:t>
      </w:r>
      <w:r w:rsidRPr="00945770">
        <w:rPr>
          <w:b/>
          <w:i/>
          <w:sz w:val="22"/>
          <w:szCs w:val="22"/>
          <w:u w:val="single"/>
        </w:rPr>
        <w:t>Rada Europejska, stanowiąc jednomyślnie na wniosek jednej trzeciej Państw Członkowskich lub Komisji Europejskiej i po uzyskaniu zgody Parlamentu Europejskiego, może stwierdzić, po wezwaniu Państwa Członkowskiego do przedstawienia swoich uwag, poważne i stałe naruszenie przez to Państwo Członkowskie wartości, o których mowa w artykule 2.</w:t>
      </w:r>
    </w:p>
    <w:p w14:paraId="1B4A81E0" w14:textId="77777777" w:rsidR="00BF7E3E" w:rsidRPr="00945770" w:rsidRDefault="00BF7E3E" w:rsidP="00945770">
      <w:pPr>
        <w:pStyle w:val="NormalnyWeb"/>
        <w:jc w:val="both"/>
        <w:rPr>
          <w:i/>
          <w:sz w:val="22"/>
          <w:szCs w:val="22"/>
        </w:rPr>
      </w:pPr>
      <w:r w:rsidRPr="00945770">
        <w:rPr>
          <w:i/>
          <w:sz w:val="22"/>
          <w:szCs w:val="22"/>
        </w:rPr>
        <w:lastRenderedPageBreak/>
        <w:t xml:space="preserve">3. </w:t>
      </w:r>
      <w:r w:rsidRPr="00945770">
        <w:rPr>
          <w:b/>
          <w:i/>
          <w:sz w:val="22"/>
          <w:szCs w:val="22"/>
          <w:u w:val="single"/>
        </w:rPr>
        <w:t>Po dokonaniu stwierdzenia na mocy ustępu 2, Rada, stanowiąc większością kwalifikowaną, może zdecydować o zawieszeniu niektórych praw wynikających ze stosowania Traktatów dla tego Państwa Członkowskiego, łącznie z prawem do głosowania przedstawiciela rządu tego Państwa Członkowskiego w Radzie.</w:t>
      </w:r>
      <w:r w:rsidRPr="00945770">
        <w:rPr>
          <w:i/>
          <w:sz w:val="22"/>
          <w:szCs w:val="22"/>
        </w:rPr>
        <w:t xml:space="preserve"> Rada uwzględnia przy tym możliwe skutki takiego zawieszenia dla praw i obowiązków osób fizycznych i prawnych.</w:t>
      </w:r>
    </w:p>
    <w:p w14:paraId="14653988" w14:textId="77777777" w:rsidR="00BF7E3E" w:rsidRPr="00945770" w:rsidRDefault="00BF7E3E" w:rsidP="00945770">
      <w:pPr>
        <w:pStyle w:val="NormalnyWeb"/>
        <w:jc w:val="both"/>
        <w:rPr>
          <w:i/>
          <w:sz w:val="22"/>
          <w:szCs w:val="22"/>
        </w:rPr>
      </w:pPr>
      <w:r w:rsidRPr="00945770">
        <w:rPr>
          <w:i/>
          <w:sz w:val="22"/>
          <w:szCs w:val="22"/>
        </w:rPr>
        <w:t>Obowiązki, które ciążą na tym Państwie Członkowskim na mocy Traktatów, pozostają w każdym przypadku wiążące dla tego Państwa.</w:t>
      </w:r>
    </w:p>
    <w:p w14:paraId="0A5CD101" w14:textId="77777777" w:rsidR="00BF7E3E" w:rsidRPr="00945770" w:rsidRDefault="00BF7E3E" w:rsidP="00945770">
      <w:pPr>
        <w:pStyle w:val="NormalnyWeb"/>
        <w:jc w:val="both"/>
        <w:rPr>
          <w:i/>
          <w:sz w:val="22"/>
          <w:szCs w:val="22"/>
        </w:rPr>
      </w:pPr>
      <w:r w:rsidRPr="00945770">
        <w:rPr>
          <w:i/>
          <w:sz w:val="22"/>
          <w:szCs w:val="22"/>
        </w:rPr>
        <w:t>4. Rada może następnie, stanowiąc większością kwalifikowaną, zdecydować o zmianie lub uchyleniu środków podjętych na podstawie ustępu 3, w przypadku zmiany sytuacji, która doprowadziła do ich ustanowienia.</w:t>
      </w:r>
    </w:p>
    <w:p w14:paraId="25CAC87D" w14:textId="77777777" w:rsidR="000C1973" w:rsidRPr="00945770" w:rsidRDefault="000C1973" w:rsidP="00945770">
      <w:pPr>
        <w:pStyle w:val="Akapitzlist"/>
        <w:numPr>
          <w:ilvl w:val="0"/>
          <w:numId w:val="3"/>
        </w:num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Obywatelstwo Unii Europejskiej</w:t>
      </w:r>
    </w:p>
    <w:p w14:paraId="6F7A34EE" w14:textId="77777777" w:rsidR="00EA6706" w:rsidRPr="00945770" w:rsidRDefault="00EA6706" w:rsidP="00945770">
      <w:p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 xml:space="preserve">Art. 20 </w:t>
      </w:r>
      <w:proofErr w:type="spellStart"/>
      <w:r w:rsidRPr="00945770">
        <w:rPr>
          <w:rFonts w:ascii="Times New Roman" w:hAnsi="Times New Roman" w:cs="Times New Roman"/>
          <w:b/>
        </w:rPr>
        <w:t>TfUE</w:t>
      </w:r>
      <w:proofErr w:type="spellEnd"/>
    </w:p>
    <w:p w14:paraId="3E4D8047" w14:textId="77777777" w:rsidR="000C1973" w:rsidRPr="000C1973" w:rsidRDefault="000C1973" w:rsidP="00945770">
      <w:pPr>
        <w:spacing w:before="100" w:beforeAutospacing="1" w:after="100" w:afterAutospacing="1" w:line="240" w:lineRule="auto"/>
        <w:jc w:val="both"/>
        <w:rPr>
          <w:rFonts w:ascii="Times New Roman" w:hAnsi="Times New Roman" w:cs="Times New Roman"/>
          <w:b/>
          <w:i/>
          <w:u w:val="single"/>
        </w:rPr>
      </w:pPr>
      <w:r w:rsidRPr="000C1973">
        <w:rPr>
          <w:rFonts w:ascii="Times New Roman" w:hAnsi="Times New Roman" w:cs="Times New Roman"/>
          <w:i/>
        </w:rPr>
        <w:t xml:space="preserve">1. Ustanawia się obywatelstwo Unii. </w:t>
      </w:r>
      <w:r w:rsidRPr="000C1973">
        <w:rPr>
          <w:rFonts w:ascii="Times New Roman" w:hAnsi="Times New Roman" w:cs="Times New Roman"/>
          <w:b/>
          <w:i/>
          <w:u w:val="single"/>
        </w:rPr>
        <w:t>Obywatelem Unii jest każda osoba mająca obywatelstwo Państwa Członkowskiego. Obywatelstwo Unii ma charakter dodatkowy w stosunku do obywatelstwa krajowego, nie zastępując go jednak.</w:t>
      </w:r>
    </w:p>
    <w:p w14:paraId="3E3EFA56" w14:textId="77777777" w:rsidR="000C1973" w:rsidRPr="000C1973" w:rsidRDefault="000C1973" w:rsidP="00945770">
      <w:pPr>
        <w:spacing w:before="100" w:beforeAutospacing="1" w:after="100" w:afterAutospacing="1" w:line="240" w:lineRule="auto"/>
        <w:jc w:val="both"/>
        <w:rPr>
          <w:rFonts w:ascii="Times New Roman" w:hAnsi="Times New Roman" w:cs="Times New Roman"/>
          <w:i/>
        </w:rPr>
      </w:pPr>
      <w:r w:rsidRPr="000C1973">
        <w:rPr>
          <w:rFonts w:ascii="Times New Roman" w:hAnsi="Times New Roman" w:cs="Times New Roman"/>
          <w:i/>
        </w:rPr>
        <w:t>2. Obywatele Unii korzystają z praw i podlegają obowiązkom przewidzianym w Traktatach. Mają między innymi prawo do:</w:t>
      </w:r>
    </w:p>
    <w:p w14:paraId="11168738" w14:textId="77777777" w:rsidR="000C1973" w:rsidRPr="000C1973" w:rsidRDefault="000C1973" w:rsidP="00945770">
      <w:pPr>
        <w:spacing w:after="0" w:line="240" w:lineRule="auto"/>
        <w:ind w:left="720"/>
        <w:jc w:val="both"/>
        <w:rPr>
          <w:rFonts w:ascii="Times New Roman" w:hAnsi="Times New Roman" w:cs="Times New Roman"/>
          <w:i/>
        </w:rPr>
      </w:pPr>
      <w:r w:rsidRPr="000C1973">
        <w:rPr>
          <w:rFonts w:ascii="Times New Roman" w:hAnsi="Times New Roman" w:cs="Times New Roman"/>
          <w:i/>
        </w:rPr>
        <w:t xml:space="preserve">a) swobodnego przemieszczania się i przebywania na terytorium Państw Członkowskich; </w:t>
      </w:r>
    </w:p>
    <w:p w14:paraId="284E17E2" w14:textId="77777777" w:rsidR="000C1973" w:rsidRPr="000C1973" w:rsidRDefault="000C1973" w:rsidP="00945770">
      <w:pPr>
        <w:spacing w:before="100" w:beforeAutospacing="1" w:after="100" w:afterAutospacing="1" w:line="240" w:lineRule="auto"/>
        <w:ind w:left="720"/>
        <w:jc w:val="both"/>
        <w:rPr>
          <w:rFonts w:ascii="Times New Roman" w:hAnsi="Times New Roman" w:cs="Times New Roman"/>
          <w:i/>
        </w:rPr>
      </w:pPr>
      <w:r w:rsidRPr="000C1973">
        <w:rPr>
          <w:rFonts w:ascii="Times New Roman" w:hAnsi="Times New Roman" w:cs="Times New Roman"/>
          <w:i/>
        </w:rPr>
        <w:t>b) głosowania i kandydowania w wyborach do Parlamentu Europejskiego oraz w wyborach lokalnych w Państwie Członkowskim, w którym mają miejsce zamieszkania, na takich samych warunkach jak obywatele tego Państwa;</w:t>
      </w:r>
    </w:p>
    <w:p w14:paraId="56F6F6D7" w14:textId="77777777" w:rsidR="000C1973" w:rsidRPr="000C1973" w:rsidRDefault="000C1973" w:rsidP="00945770">
      <w:pPr>
        <w:spacing w:before="100" w:beforeAutospacing="1" w:after="100" w:afterAutospacing="1" w:line="240" w:lineRule="auto"/>
        <w:ind w:left="720"/>
        <w:jc w:val="both"/>
        <w:rPr>
          <w:rFonts w:ascii="Times New Roman" w:hAnsi="Times New Roman" w:cs="Times New Roman"/>
          <w:i/>
        </w:rPr>
      </w:pPr>
      <w:r w:rsidRPr="000C1973">
        <w:rPr>
          <w:rFonts w:ascii="Times New Roman" w:hAnsi="Times New Roman" w:cs="Times New Roman"/>
          <w:i/>
        </w:rPr>
        <w:t>c) korzystania na terytorium państwa trzeciego, w którym Państwo Członkowskie, którego są obywatelami, nie ma swojego przedstawicielstwa, z ochrony dyplomatycznej i konsularnej każdego z pozostałych Państw Członkowskich, na takich samych warunkach jak obywatele tego Państwa;</w:t>
      </w:r>
    </w:p>
    <w:p w14:paraId="5B6889B8" w14:textId="77777777" w:rsidR="000C1973" w:rsidRPr="000C1973" w:rsidRDefault="000C1973" w:rsidP="00945770">
      <w:pPr>
        <w:spacing w:before="100" w:beforeAutospacing="1" w:after="100" w:afterAutospacing="1" w:line="240" w:lineRule="auto"/>
        <w:ind w:left="720"/>
        <w:jc w:val="both"/>
        <w:rPr>
          <w:rFonts w:ascii="Times New Roman" w:hAnsi="Times New Roman" w:cs="Times New Roman"/>
          <w:i/>
        </w:rPr>
      </w:pPr>
      <w:r w:rsidRPr="000C1973">
        <w:rPr>
          <w:rFonts w:ascii="Times New Roman" w:hAnsi="Times New Roman" w:cs="Times New Roman"/>
          <w:i/>
        </w:rPr>
        <w:t>d) kierowania petycji do Parlamentu Europejskiego, odwoływania się do Europejskiego Rzecznika Praw Obywatelskich oraz zwracania się do instytucji i organów doradczych Unii w jednym z języków Traktatów oraz otrzymywania odpowiedzi w tym samym języku.</w:t>
      </w:r>
    </w:p>
    <w:p w14:paraId="54783C19" w14:textId="77777777" w:rsidR="000C1973" w:rsidRPr="000C1973" w:rsidRDefault="000C1973" w:rsidP="00945770">
      <w:pPr>
        <w:spacing w:before="100" w:beforeAutospacing="1" w:after="100" w:afterAutospacing="1" w:line="240" w:lineRule="auto"/>
        <w:jc w:val="both"/>
        <w:rPr>
          <w:rFonts w:ascii="Times New Roman" w:hAnsi="Times New Roman" w:cs="Times New Roman"/>
          <w:i/>
        </w:rPr>
      </w:pPr>
      <w:r w:rsidRPr="000C1973">
        <w:rPr>
          <w:rFonts w:ascii="Times New Roman" w:hAnsi="Times New Roman" w:cs="Times New Roman"/>
          <w:i/>
        </w:rPr>
        <w:t>Prawa te są wykonywane na warunkach i w granicach określonych przez Traktaty i środki przyjęte w ich zastosowaniu.</w:t>
      </w:r>
    </w:p>
    <w:p w14:paraId="23A66646" w14:textId="77777777" w:rsidR="00EA6706" w:rsidRPr="00945770" w:rsidRDefault="00EA6706" w:rsidP="00945770">
      <w:p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 xml:space="preserve">Art. 26 </w:t>
      </w:r>
      <w:proofErr w:type="spellStart"/>
      <w:r w:rsidRPr="00945770">
        <w:rPr>
          <w:rFonts w:ascii="Times New Roman" w:hAnsi="Times New Roman" w:cs="Times New Roman"/>
          <w:b/>
        </w:rPr>
        <w:t>TfUE</w:t>
      </w:r>
      <w:proofErr w:type="spellEnd"/>
    </w:p>
    <w:p w14:paraId="41AE4114" w14:textId="77777777" w:rsidR="00BF7E3E" w:rsidRPr="00945770" w:rsidRDefault="00EA6706"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definicja rynku wewnętrznego</w:t>
      </w:r>
    </w:p>
    <w:p w14:paraId="55037834" w14:textId="77777777" w:rsidR="00EA6706" w:rsidRPr="00945770" w:rsidRDefault="00EA6706" w:rsidP="00945770">
      <w:pPr>
        <w:spacing w:line="240" w:lineRule="auto"/>
        <w:jc w:val="both"/>
        <w:rPr>
          <w:rFonts w:ascii="Times New Roman" w:hAnsi="Times New Roman" w:cs="Times New Roman"/>
          <w:i/>
        </w:rPr>
      </w:pPr>
      <w:r w:rsidRPr="00945770">
        <w:rPr>
          <w:rFonts w:ascii="Times New Roman" w:hAnsi="Times New Roman" w:cs="Times New Roman"/>
          <w:i/>
        </w:rPr>
        <w:t xml:space="preserve">2. Rynek wewnętrzny obejmuje </w:t>
      </w:r>
      <w:r w:rsidRPr="00945770">
        <w:rPr>
          <w:rFonts w:ascii="Times New Roman" w:hAnsi="Times New Roman" w:cs="Times New Roman"/>
          <w:b/>
          <w:i/>
          <w:u w:val="single"/>
        </w:rPr>
        <w:t>obszar bez granic wewnętrznych, w którym jest zapewniony swobodny przepływ towarów, osób, usług i kapitału, zgodnie z postanowieniami Traktatów</w:t>
      </w:r>
      <w:r w:rsidRPr="00945770">
        <w:rPr>
          <w:rFonts w:ascii="Times New Roman" w:hAnsi="Times New Roman" w:cs="Times New Roman"/>
          <w:i/>
        </w:rPr>
        <w:t>.</w:t>
      </w:r>
    </w:p>
    <w:p w14:paraId="012737DD" w14:textId="77777777" w:rsidR="00EA6706" w:rsidRPr="00945770" w:rsidRDefault="00EA6706"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swobodny przepływ towarów</w:t>
      </w:r>
    </w:p>
    <w:p w14:paraId="5896CC03" w14:textId="77777777" w:rsidR="00EA6706" w:rsidRPr="00945770" w:rsidRDefault="00EA6706" w:rsidP="00945770">
      <w:pPr>
        <w:spacing w:before="100" w:beforeAutospacing="1" w:after="100" w:afterAutospacing="1" w:line="240" w:lineRule="auto"/>
        <w:jc w:val="both"/>
        <w:rPr>
          <w:rStyle w:val="Uwydatnienie"/>
          <w:rFonts w:ascii="Times New Roman" w:hAnsi="Times New Roman" w:cs="Times New Roman"/>
          <w:b/>
          <w:i w:val="0"/>
          <w:iCs w:val="0"/>
        </w:rPr>
      </w:pPr>
      <w:r w:rsidRPr="00945770">
        <w:rPr>
          <w:rFonts w:ascii="Times New Roman" w:hAnsi="Times New Roman" w:cs="Times New Roman"/>
          <w:b/>
        </w:rPr>
        <w:t xml:space="preserve">Art. 28 </w:t>
      </w:r>
      <w:proofErr w:type="spellStart"/>
      <w:r w:rsidRPr="00945770">
        <w:rPr>
          <w:rFonts w:ascii="Times New Roman" w:hAnsi="Times New Roman" w:cs="Times New Roman"/>
          <w:b/>
        </w:rPr>
        <w:t>TfUE</w:t>
      </w:r>
      <w:proofErr w:type="spellEnd"/>
    </w:p>
    <w:p w14:paraId="2C1D67CF" w14:textId="77777777" w:rsidR="00EA6706" w:rsidRPr="00945770" w:rsidRDefault="00EA6706" w:rsidP="00945770">
      <w:pPr>
        <w:pStyle w:val="NormalnyWeb"/>
        <w:jc w:val="both"/>
        <w:rPr>
          <w:i/>
          <w:sz w:val="22"/>
          <w:szCs w:val="22"/>
        </w:rPr>
      </w:pPr>
      <w:r w:rsidRPr="00945770">
        <w:rPr>
          <w:i/>
          <w:sz w:val="22"/>
          <w:szCs w:val="22"/>
        </w:rPr>
        <w:t xml:space="preserve">1. Unia obejmuje unię celną, która rozciąga się na całą wymianę towarową i </w:t>
      </w:r>
      <w:r w:rsidRPr="00945770">
        <w:rPr>
          <w:b/>
          <w:i/>
          <w:sz w:val="22"/>
          <w:szCs w:val="22"/>
          <w:u w:val="single"/>
        </w:rPr>
        <w:t>obejmuje zakaz ceł przywozowych i wywozowych między Państwami Członkowskimi oraz wszelkich opłat o skutku równoważnym, jak również przyjęcie wspólnej taryfy celnej w stosunkach z państwami trzecimi</w:t>
      </w:r>
      <w:r w:rsidRPr="00945770">
        <w:rPr>
          <w:i/>
          <w:sz w:val="22"/>
          <w:szCs w:val="22"/>
        </w:rPr>
        <w:t>.</w:t>
      </w:r>
    </w:p>
    <w:p w14:paraId="7F243188" w14:textId="77777777" w:rsidR="00EA6706" w:rsidRPr="00945770" w:rsidRDefault="00EA6706" w:rsidP="00945770">
      <w:pPr>
        <w:pStyle w:val="NormalnyWeb"/>
        <w:jc w:val="both"/>
        <w:rPr>
          <w:i/>
          <w:sz w:val="22"/>
          <w:szCs w:val="22"/>
        </w:rPr>
      </w:pPr>
      <w:r w:rsidRPr="00945770">
        <w:rPr>
          <w:i/>
          <w:sz w:val="22"/>
          <w:szCs w:val="22"/>
        </w:rPr>
        <w:lastRenderedPageBreak/>
        <w:t xml:space="preserve">2. Postanowienia artykułu 30 i rozdziału 3 niniejszego tytułu </w:t>
      </w:r>
      <w:r w:rsidRPr="00945770">
        <w:rPr>
          <w:b/>
          <w:i/>
          <w:sz w:val="22"/>
          <w:szCs w:val="22"/>
          <w:u w:val="single"/>
        </w:rPr>
        <w:t>stosują się do produktów pochodzących z Państw Członkowskich oraz do produktów pochodzących z państw trzecich, jeżeli znajdują się one w swobodnym obrocie w Państwach Członkowskich</w:t>
      </w:r>
      <w:r w:rsidRPr="00945770">
        <w:rPr>
          <w:i/>
          <w:sz w:val="22"/>
          <w:szCs w:val="22"/>
        </w:rPr>
        <w:t>.</w:t>
      </w:r>
    </w:p>
    <w:p w14:paraId="2A8D3D99" w14:textId="77777777" w:rsidR="00EA6706" w:rsidRPr="00945770" w:rsidRDefault="00EA6706" w:rsidP="00945770">
      <w:p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 xml:space="preserve">Art. 29 </w:t>
      </w:r>
      <w:proofErr w:type="spellStart"/>
      <w:r w:rsidRPr="00945770">
        <w:rPr>
          <w:rFonts w:ascii="Times New Roman" w:hAnsi="Times New Roman" w:cs="Times New Roman"/>
          <w:b/>
        </w:rPr>
        <w:t>TfUE</w:t>
      </w:r>
      <w:proofErr w:type="spellEnd"/>
    </w:p>
    <w:p w14:paraId="0780CE8F" w14:textId="77777777" w:rsidR="00EA6706" w:rsidRPr="00945770" w:rsidRDefault="00EA6706" w:rsidP="00945770">
      <w:pPr>
        <w:pStyle w:val="NormalnyWeb"/>
        <w:jc w:val="both"/>
        <w:rPr>
          <w:i/>
          <w:sz w:val="22"/>
          <w:szCs w:val="22"/>
        </w:rPr>
      </w:pPr>
      <w:r w:rsidRPr="00945770">
        <w:rPr>
          <w:i/>
          <w:sz w:val="22"/>
          <w:szCs w:val="22"/>
        </w:rPr>
        <w:t>Produkty pochodzące z państw trzecich są uważane za będące w swobodnym obrocie w jednym z Państw Członkowskich, jeżeli dopełniono wobec nich formalności przywozowych oraz pobrano wszystkie wymagane cła i opłaty o skutku równoważnym w tym Państwie Członkowskim i jeżeli nie skorzystały z całkowitego lub częściowego zwrotu tych ceł lub opłat.</w:t>
      </w:r>
    </w:p>
    <w:p w14:paraId="7380EB5C" w14:textId="77777777" w:rsidR="00EA6706" w:rsidRPr="00945770" w:rsidRDefault="002B0022"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unia celna</w:t>
      </w:r>
    </w:p>
    <w:p w14:paraId="33D21718" w14:textId="77777777" w:rsidR="002B0022" w:rsidRPr="00945770" w:rsidRDefault="002B0022" w:rsidP="00945770">
      <w:pPr>
        <w:spacing w:before="100" w:beforeAutospacing="1" w:after="100" w:afterAutospacing="1" w:line="240" w:lineRule="auto"/>
        <w:jc w:val="both"/>
        <w:rPr>
          <w:rStyle w:val="Uwydatnienie"/>
          <w:rFonts w:ascii="Times New Roman" w:hAnsi="Times New Roman" w:cs="Times New Roman"/>
          <w:b/>
          <w:i w:val="0"/>
          <w:iCs w:val="0"/>
        </w:rPr>
      </w:pPr>
      <w:r w:rsidRPr="00945770">
        <w:rPr>
          <w:rFonts w:ascii="Times New Roman" w:hAnsi="Times New Roman" w:cs="Times New Roman"/>
          <w:b/>
        </w:rPr>
        <w:t xml:space="preserve">Art. 30 </w:t>
      </w:r>
      <w:proofErr w:type="spellStart"/>
      <w:r w:rsidRPr="00945770">
        <w:rPr>
          <w:rFonts w:ascii="Times New Roman" w:hAnsi="Times New Roman" w:cs="Times New Roman"/>
          <w:b/>
        </w:rPr>
        <w:t>TfUE</w:t>
      </w:r>
      <w:proofErr w:type="spellEnd"/>
    </w:p>
    <w:p w14:paraId="1DCCB223" w14:textId="77777777" w:rsidR="002B0022" w:rsidRPr="00945770" w:rsidRDefault="002B0022" w:rsidP="00945770">
      <w:pPr>
        <w:pStyle w:val="NormalnyWeb"/>
        <w:jc w:val="both"/>
        <w:rPr>
          <w:i/>
          <w:sz w:val="22"/>
          <w:szCs w:val="22"/>
        </w:rPr>
      </w:pPr>
      <w:r w:rsidRPr="00945770">
        <w:rPr>
          <w:i/>
          <w:sz w:val="22"/>
          <w:szCs w:val="22"/>
        </w:rPr>
        <w:t>Cła przywozowe i wywozowe lub opłaty o skutku równoważnym są zakazane między Państwami Członkowskimi. Zakaz ten stosuje się również do ceł o charakterze fiskalnym.</w:t>
      </w:r>
    </w:p>
    <w:p w14:paraId="50DAA7F4" w14:textId="77777777" w:rsidR="002B0022" w:rsidRPr="00945770" w:rsidRDefault="002B0022" w:rsidP="00945770">
      <w:pPr>
        <w:spacing w:before="100" w:beforeAutospacing="1" w:after="100" w:afterAutospacing="1" w:line="240" w:lineRule="auto"/>
        <w:jc w:val="both"/>
        <w:rPr>
          <w:rStyle w:val="Uwydatnienie"/>
          <w:rFonts w:ascii="Times New Roman" w:hAnsi="Times New Roman" w:cs="Times New Roman"/>
          <w:b/>
          <w:i w:val="0"/>
          <w:iCs w:val="0"/>
        </w:rPr>
      </w:pPr>
      <w:r w:rsidRPr="00945770">
        <w:rPr>
          <w:rFonts w:ascii="Times New Roman" w:hAnsi="Times New Roman" w:cs="Times New Roman"/>
          <w:b/>
        </w:rPr>
        <w:t xml:space="preserve">Art. 31 </w:t>
      </w:r>
      <w:proofErr w:type="spellStart"/>
      <w:r w:rsidRPr="00945770">
        <w:rPr>
          <w:rFonts w:ascii="Times New Roman" w:hAnsi="Times New Roman" w:cs="Times New Roman"/>
          <w:b/>
        </w:rPr>
        <w:t>TfUE</w:t>
      </w:r>
      <w:proofErr w:type="spellEnd"/>
    </w:p>
    <w:p w14:paraId="6F6A212A" w14:textId="77777777" w:rsidR="002B0022" w:rsidRPr="00945770" w:rsidRDefault="002B0022" w:rsidP="00945770">
      <w:pPr>
        <w:pStyle w:val="NormalnyWeb"/>
        <w:rPr>
          <w:i/>
          <w:sz w:val="22"/>
          <w:szCs w:val="22"/>
        </w:rPr>
      </w:pPr>
      <w:r w:rsidRPr="00945770">
        <w:rPr>
          <w:i/>
          <w:sz w:val="22"/>
          <w:szCs w:val="22"/>
        </w:rPr>
        <w:t>Rada określa cła wspólnej taryfy celnej, stanowiąc na wniosek Komisji.</w:t>
      </w:r>
    </w:p>
    <w:p w14:paraId="55874D2E" w14:textId="77777777" w:rsidR="002B0022" w:rsidRPr="00945770" w:rsidRDefault="002B0022" w:rsidP="00945770">
      <w:pPr>
        <w:pStyle w:val="Akapitzlist"/>
        <w:numPr>
          <w:ilvl w:val="0"/>
          <w:numId w:val="3"/>
        </w:numPr>
        <w:spacing w:line="240" w:lineRule="auto"/>
        <w:jc w:val="both"/>
        <w:rPr>
          <w:rFonts w:ascii="Times New Roman" w:hAnsi="Times New Roman" w:cs="Times New Roman"/>
          <w:b/>
        </w:rPr>
      </w:pPr>
      <w:r w:rsidRPr="00945770">
        <w:rPr>
          <w:rFonts w:ascii="Times New Roman" w:hAnsi="Times New Roman" w:cs="Times New Roman"/>
          <w:b/>
        </w:rPr>
        <w:t>zakaz ograniczeń ilościowych między państwami członkowskimi</w:t>
      </w:r>
    </w:p>
    <w:p w14:paraId="42A8C08B" w14:textId="77777777" w:rsidR="002B0022" w:rsidRPr="00945770" w:rsidRDefault="002B0022" w:rsidP="00945770">
      <w:pPr>
        <w:spacing w:before="100" w:beforeAutospacing="1" w:after="100" w:afterAutospacing="1" w:line="240" w:lineRule="auto"/>
        <w:jc w:val="both"/>
        <w:rPr>
          <w:rStyle w:val="Uwydatnienie"/>
          <w:rFonts w:ascii="Times New Roman" w:hAnsi="Times New Roman" w:cs="Times New Roman"/>
          <w:b/>
          <w:i w:val="0"/>
          <w:iCs w:val="0"/>
        </w:rPr>
      </w:pPr>
      <w:r w:rsidRPr="00945770">
        <w:rPr>
          <w:rFonts w:ascii="Times New Roman" w:hAnsi="Times New Roman" w:cs="Times New Roman"/>
          <w:b/>
        </w:rPr>
        <w:t xml:space="preserve">Art. 34 </w:t>
      </w:r>
      <w:proofErr w:type="spellStart"/>
      <w:r w:rsidRPr="00945770">
        <w:rPr>
          <w:rFonts w:ascii="Times New Roman" w:hAnsi="Times New Roman" w:cs="Times New Roman"/>
          <w:b/>
        </w:rPr>
        <w:t>TfUE</w:t>
      </w:r>
      <w:proofErr w:type="spellEnd"/>
    </w:p>
    <w:p w14:paraId="5EEF5E60" w14:textId="77777777" w:rsidR="002B0022" w:rsidRPr="00945770" w:rsidRDefault="002B0022" w:rsidP="00945770">
      <w:pPr>
        <w:pStyle w:val="NormalnyWeb"/>
        <w:rPr>
          <w:b/>
          <w:i/>
          <w:sz w:val="22"/>
          <w:szCs w:val="22"/>
          <w:u w:val="single"/>
        </w:rPr>
      </w:pPr>
      <w:r w:rsidRPr="00945770">
        <w:rPr>
          <w:b/>
          <w:i/>
          <w:sz w:val="22"/>
          <w:szCs w:val="22"/>
          <w:u w:val="single"/>
        </w:rPr>
        <w:t>Ograniczenia ilościowe w przywozie oraz wszelkie środki o skutku równoważnym są zakazane między Państwami Członkowskimi.</w:t>
      </w:r>
    </w:p>
    <w:p w14:paraId="20046676" w14:textId="77777777" w:rsidR="002B0022" w:rsidRPr="00945770" w:rsidRDefault="002B0022" w:rsidP="00945770">
      <w:pPr>
        <w:spacing w:before="100" w:beforeAutospacing="1" w:after="100" w:afterAutospacing="1" w:line="240" w:lineRule="auto"/>
        <w:jc w:val="both"/>
        <w:rPr>
          <w:rStyle w:val="Uwydatnienie"/>
          <w:rFonts w:ascii="Times New Roman" w:hAnsi="Times New Roman" w:cs="Times New Roman"/>
          <w:b/>
          <w:i w:val="0"/>
          <w:iCs w:val="0"/>
        </w:rPr>
      </w:pPr>
      <w:r w:rsidRPr="00945770">
        <w:rPr>
          <w:rFonts w:ascii="Times New Roman" w:hAnsi="Times New Roman" w:cs="Times New Roman"/>
          <w:b/>
        </w:rPr>
        <w:t xml:space="preserve">Art. 35 </w:t>
      </w:r>
      <w:proofErr w:type="spellStart"/>
      <w:r w:rsidRPr="00945770">
        <w:rPr>
          <w:rFonts w:ascii="Times New Roman" w:hAnsi="Times New Roman" w:cs="Times New Roman"/>
          <w:b/>
        </w:rPr>
        <w:t>TfUE</w:t>
      </w:r>
      <w:proofErr w:type="spellEnd"/>
    </w:p>
    <w:p w14:paraId="63DB91AF" w14:textId="77777777" w:rsidR="002B0022" w:rsidRPr="00945770" w:rsidRDefault="002B0022" w:rsidP="00945770">
      <w:pPr>
        <w:pStyle w:val="NormalnyWeb"/>
        <w:rPr>
          <w:b/>
          <w:i/>
          <w:sz w:val="22"/>
          <w:szCs w:val="22"/>
          <w:u w:val="single"/>
        </w:rPr>
      </w:pPr>
      <w:r w:rsidRPr="00945770">
        <w:rPr>
          <w:b/>
          <w:i/>
          <w:sz w:val="22"/>
          <w:szCs w:val="22"/>
          <w:u w:val="single"/>
        </w:rPr>
        <w:t>Ograniczenia ilościowe w wywozie oraz wszelkie środki o skutku równoważnym są zakazane między Państwami Członkowskimi.</w:t>
      </w:r>
    </w:p>
    <w:p w14:paraId="7970D816" w14:textId="77777777" w:rsidR="002B0022" w:rsidRPr="00945770" w:rsidRDefault="002B0022" w:rsidP="00945770">
      <w:p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 xml:space="preserve">Art. 36 </w:t>
      </w:r>
      <w:proofErr w:type="spellStart"/>
      <w:r w:rsidRPr="00945770">
        <w:rPr>
          <w:rFonts w:ascii="Times New Roman" w:hAnsi="Times New Roman" w:cs="Times New Roman"/>
          <w:b/>
        </w:rPr>
        <w:t>TfUE</w:t>
      </w:r>
      <w:proofErr w:type="spellEnd"/>
    </w:p>
    <w:p w14:paraId="791ECB4F" w14:textId="77777777" w:rsidR="002B0022" w:rsidRPr="00945770" w:rsidRDefault="002B0022" w:rsidP="00945770">
      <w:pPr>
        <w:pStyle w:val="NormalnyWeb"/>
        <w:jc w:val="both"/>
        <w:rPr>
          <w:b/>
          <w:i/>
          <w:sz w:val="22"/>
          <w:szCs w:val="22"/>
          <w:u w:val="single"/>
        </w:rPr>
      </w:pPr>
      <w:r w:rsidRPr="00945770">
        <w:rPr>
          <w:i/>
          <w:sz w:val="22"/>
          <w:szCs w:val="22"/>
        </w:rPr>
        <w:t xml:space="preserve">Postanowienia artykułów 34 i 35 </w:t>
      </w:r>
      <w:r w:rsidRPr="00945770">
        <w:rPr>
          <w:b/>
          <w:i/>
          <w:sz w:val="22"/>
          <w:szCs w:val="22"/>
          <w:u w:val="single"/>
        </w:rPr>
        <w:t>nie stanowią przeszkody w stosowaniu zakazów lub ograniczeń przywozowych, wywozowych lub tranzytowych, uzasadnionych względami moralności publicznej, porządku publicznego, bezpieczeństwa publicznego, ochrony zdrowia i życia ludzi i zwierząt lub ochrony roślin, ochrony narodowych dóbr kultury o wartości artystycznej, historycznej lub archeologicznej, bądź ochrony własności przemysłowej i handlowej. Zakazy te i ograniczenia nie powinny jednak stanowić środka arbitralnej dyskryminacji ani ukrytych ograniczeń w handlu między Państwami Członkowskimi.</w:t>
      </w:r>
    </w:p>
    <w:p w14:paraId="2D6A97B4" w14:textId="77777777" w:rsidR="002B0022" w:rsidRPr="00945770" w:rsidRDefault="002B0022" w:rsidP="00945770">
      <w:pPr>
        <w:pStyle w:val="NormalnyWeb"/>
        <w:jc w:val="both"/>
        <w:rPr>
          <w:b/>
          <w:i/>
          <w:sz w:val="22"/>
          <w:szCs w:val="22"/>
          <w:u w:val="single"/>
        </w:rPr>
      </w:pPr>
    </w:p>
    <w:p w14:paraId="6D4A8D8F" w14:textId="77777777" w:rsidR="008D11C0" w:rsidRPr="00945770" w:rsidRDefault="008D11C0" w:rsidP="00945770">
      <w:pPr>
        <w:pStyle w:val="Akapitzlist"/>
        <w:numPr>
          <w:ilvl w:val="0"/>
          <w:numId w:val="3"/>
        </w:numPr>
        <w:spacing w:before="100" w:beforeAutospacing="1" w:after="100" w:afterAutospacing="1" w:line="240" w:lineRule="auto"/>
        <w:jc w:val="both"/>
        <w:rPr>
          <w:rFonts w:ascii="Times New Roman" w:hAnsi="Times New Roman" w:cs="Times New Roman"/>
          <w:b/>
        </w:rPr>
      </w:pPr>
      <w:r w:rsidRPr="00945770">
        <w:rPr>
          <w:rFonts w:ascii="Times New Roman" w:hAnsi="Times New Roman" w:cs="Times New Roman"/>
          <w:b/>
        </w:rPr>
        <w:t>postanowienia ogólne o instytucjach</w:t>
      </w:r>
    </w:p>
    <w:p w14:paraId="6025977D" w14:textId="77777777" w:rsidR="00F2187B" w:rsidRPr="00945770" w:rsidRDefault="00F2187B" w:rsidP="00945770">
      <w:pPr>
        <w:pStyle w:val="Akapitzlist"/>
        <w:spacing w:before="100" w:beforeAutospacing="1" w:after="100" w:afterAutospacing="1" w:line="240" w:lineRule="auto"/>
        <w:jc w:val="both"/>
        <w:rPr>
          <w:rFonts w:ascii="Times New Roman" w:hAnsi="Times New Roman" w:cs="Times New Roman"/>
          <w:b/>
        </w:rPr>
      </w:pPr>
    </w:p>
    <w:p w14:paraId="1D319005" w14:textId="77777777" w:rsidR="008D11C0" w:rsidRPr="0094577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13 TUE</w:t>
      </w:r>
    </w:p>
    <w:p w14:paraId="116EE217"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Instytucjami Unii są:</w:t>
      </w:r>
    </w:p>
    <w:p w14:paraId="65E450C3" w14:textId="77777777" w:rsidR="008D11C0" w:rsidRPr="008D11C0" w:rsidRDefault="008D11C0" w:rsidP="00945770">
      <w:pPr>
        <w:spacing w:after="0"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xml:space="preserve">— Parlament Europejski, </w:t>
      </w:r>
    </w:p>
    <w:p w14:paraId="02FB42D4"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lastRenderedPageBreak/>
        <w:t>— Rada Europejska,</w:t>
      </w:r>
    </w:p>
    <w:p w14:paraId="7C3F6766"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Rada,</w:t>
      </w:r>
    </w:p>
    <w:p w14:paraId="276EB097"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Komisja Europejska (zwana dalej „Komisją”),</w:t>
      </w:r>
    </w:p>
    <w:p w14:paraId="5C795710"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Trybunał Sprawiedliwości Unii Europejskiej,</w:t>
      </w:r>
    </w:p>
    <w:p w14:paraId="360DE238"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Europejski Bank Centralny,</w:t>
      </w:r>
    </w:p>
    <w:p w14:paraId="4DAC5D47"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b/>
          <w:i/>
          <w:u w:val="single"/>
          <w:lang w:eastAsia="pl-PL"/>
        </w:rPr>
        <w:t>— Trybunał Obrachunkowy.</w:t>
      </w:r>
    </w:p>
    <w:p w14:paraId="68834BF3"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4. </w:t>
      </w:r>
      <w:r w:rsidRPr="008D11C0">
        <w:rPr>
          <w:rFonts w:ascii="Times New Roman" w:eastAsia="Times New Roman" w:hAnsi="Times New Roman" w:cs="Times New Roman"/>
          <w:b/>
          <w:i/>
          <w:u w:val="single"/>
          <w:lang w:eastAsia="pl-PL"/>
        </w:rPr>
        <w:t>Parlament Europejski, Rada i Komisja są wspomagane przez Komitet Ekonomiczno-Społeczny i Komitet Regionów, które pełnią funkcje doradcze.</w:t>
      </w:r>
    </w:p>
    <w:p w14:paraId="10059D58" w14:textId="77777777" w:rsidR="008D11C0" w:rsidRPr="008D11C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14 TUE</w:t>
      </w:r>
    </w:p>
    <w:p w14:paraId="4271FA4E"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1. Parlament Europejski pełni, wspólnie z Radą, </w:t>
      </w:r>
      <w:r w:rsidRPr="008D11C0">
        <w:rPr>
          <w:rFonts w:ascii="Times New Roman" w:eastAsia="Times New Roman" w:hAnsi="Times New Roman" w:cs="Times New Roman"/>
          <w:b/>
          <w:i/>
          <w:u w:val="single"/>
          <w:lang w:eastAsia="pl-PL"/>
        </w:rPr>
        <w:t>funkcje prawodawczą i budżetową. Pełni funkcje kontroli politycznej i konsultacyjne zgodnie z warunkami przewidzianymi w Traktatach. Wybiera przewodniczącego Komisji.</w:t>
      </w:r>
    </w:p>
    <w:p w14:paraId="299C6B2A"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2. W skład Parlamentu Europejskiego wchodzą przedstawiciele obywateli Unii. </w:t>
      </w:r>
      <w:r w:rsidRPr="008D11C0">
        <w:rPr>
          <w:rFonts w:ascii="Times New Roman" w:eastAsia="Times New Roman" w:hAnsi="Times New Roman" w:cs="Times New Roman"/>
          <w:b/>
          <w:i/>
          <w:u w:val="single"/>
          <w:lang w:eastAsia="pl-PL"/>
        </w:rPr>
        <w:t>Ich liczba nie przekracza siedmiuset pięćdziesięciu, nie licząc przewodniczącego.</w:t>
      </w:r>
      <w:r w:rsidRPr="008D11C0">
        <w:rPr>
          <w:rFonts w:ascii="Times New Roman" w:eastAsia="Times New Roman" w:hAnsi="Times New Roman" w:cs="Times New Roman"/>
          <w:i/>
          <w:lang w:eastAsia="pl-PL"/>
        </w:rPr>
        <w:t xml:space="preserve"> Reprezentacja obywateli ma charakter degresywnie proporcjonalny, z minimalnym progiem sześciu członków na Państwo Członkowskie. Żadnemu Państwu Członkowskiemu nie można przyznać więcej niż dziewięćdziesiąt sześć miejsc.</w:t>
      </w:r>
    </w:p>
    <w:p w14:paraId="70C7E227"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3. </w:t>
      </w:r>
      <w:r w:rsidRPr="008D11C0">
        <w:rPr>
          <w:rFonts w:ascii="Times New Roman" w:eastAsia="Times New Roman" w:hAnsi="Times New Roman" w:cs="Times New Roman"/>
          <w:b/>
          <w:i/>
          <w:u w:val="single"/>
          <w:lang w:eastAsia="pl-PL"/>
        </w:rPr>
        <w:t>Członkowie Parlamentu Europejskiego są wybierani na pięcioletnią kadencję</w:t>
      </w:r>
      <w:r w:rsidRPr="008D11C0">
        <w:rPr>
          <w:rFonts w:ascii="Times New Roman" w:eastAsia="Times New Roman" w:hAnsi="Times New Roman" w:cs="Times New Roman"/>
          <w:i/>
          <w:lang w:eastAsia="pl-PL"/>
        </w:rPr>
        <w:t xml:space="preserve"> w powszechnych wyborach bezpośrednich, w głosowaniu wolnym i tajnym.</w:t>
      </w:r>
    </w:p>
    <w:p w14:paraId="3F3BDF57"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4. Parlament Europejski wybiera spośród swoich członków przewodniczącego i prezydium.</w:t>
      </w:r>
    </w:p>
    <w:p w14:paraId="76F3D91B" w14:textId="77777777" w:rsidR="008D11C0" w:rsidRPr="008D11C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15 TUE</w:t>
      </w:r>
    </w:p>
    <w:p w14:paraId="03DCCC1C"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1. </w:t>
      </w:r>
      <w:r w:rsidRPr="008D11C0">
        <w:rPr>
          <w:rFonts w:ascii="Times New Roman" w:eastAsia="Times New Roman" w:hAnsi="Times New Roman" w:cs="Times New Roman"/>
          <w:b/>
          <w:i/>
          <w:u w:val="single"/>
          <w:lang w:eastAsia="pl-PL"/>
        </w:rPr>
        <w:t>Rada Europejska nadaje Unii impulsy niezbędne do jej rozwoju i określa ogólne kierunki i priorytety polityczne. Rada Europejska nie pełni funkcji prawodawczej.</w:t>
      </w:r>
    </w:p>
    <w:p w14:paraId="488F05D8"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2. </w:t>
      </w:r>
      <w:r w:rsidRPr="008D11C0">
        <w:rPr>
          <w:rFonts w:ascii="Times New Roman" w:eastAsia="Times New Roman" w:hAnsi="Times New Roman" w:cs="Times New Roman"/>
          <w:b/>
          <w:i/>
          <w:u w:val="single"/>
          <w:lang w:eastAsia="pl-PL"/>
        </w:rPr>
        <w:t>W skład Rady Europejskiej wchodzą szefowie państw lub rządów Państw Członkowskich, jak również jej przewodniczący oraz przewodniczący Komisji. W jej pracach uczestniczy wysoki przedstawiciel Unii do spraw zagranicznych i polityki bezpieczeństwa.</w:t>
      </w:r>
    </w:p>
    <w:p w14:paraId="31E007BC"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3. Rada Europejska zbiera się dwa razy w ciągu półrocza, zwoływana przez jej przewodniczącego. Jeżeli wymaga tego porządek obrad, członkowie Rady Europejskiej mogą podjąć decyzję, aby każdemu z nich towarzyszył minister, a w przypadku przewodniczącego Komisji – członek Komisji. Jeżeli sytuacja tego wymaga, przewodniczący zwołuje nadzwyczajne posiedzenie Rady Europejskiej.</w:t>
      </w:r>
    </w:p>
    <w:p w14:paraId="7A959015"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4. O ile Traktaty nie stanowią inaczej, Rada Europejska podejmuje decyzje w drodze konsensusu.</w:t>
      </w:r>
    </w:p>
    <w:p w14:paraId="56C57F32"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5. </w:t>
      </w:r>
      <w:r w:rsidRPr="008D11C0">
        <w:rPr>
          <w:rFonts w:ascii="Times New Roman" w:eastAsia="Times New Roman" w:hAnsi="Times New Roman" w:cs="Times New Roman"/>
          <w:b/>
          <w:i/>
          <w:u w:val="single"/>
          <w:lang w:eastAsia="pl-PL"/>
        </w:rPr>
        <w:t>Rada Europejska wybiera swojego przewodniczącego większością kwalifikowaną na okres dwóch i pół roku; mandat przewodniczącego jest jednokrotnie odnawialny</w:t>
      </w:r>
      <w:r w:rsidRPr="008D11C0">
        <w:rPr>
          <w:rFonts w:ascii="Times New Roman" w:eastAsia="Times New Roman" w:hAnsi="Times New Roman" w:cs="Times New Roman"/>
          <w:i/>
          <w:lang w:eastAsia="pl-PL"/>
        </w:rPr>
        <w:t>. W przypadku przeszkody lub poważnego uchybienia Rada Europejska może pozbawić przewodniczącego mandatu zgodnie z tą samą procedurą.</w:t>
      </w:r>
    </w:p>
    <w:p w14:paraId="71AD8DE2"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6. Przewodniczący Rady Europejskiej:</w:t>
      </w:r>
    </w:p>
    <w:p w14:paraId="2A290672" w14:textId="77777777" w:rsidR="008D11C0" w:rsidRPr="008D11C0" w:rsidRDefault="008D11C0" w:rsidP="00945770">
      <w:pPr>
        <w:spacing w:after="0"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a) przewodniczy Radzie Europejskiej i prowadzi jej prace; </w:t>
      </w:r>
    </w:p>
    <w:p w14:paraId="02E91A43"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lastRenderedPageBreak/>
        <w:t>b) zapewnia przygotowanie i ciągłość prac Rady Europejskiej, we współpracy z przewodniczącym Komisji i na podstawie prac Rady do Spraw Ogólnych;</w:t>
      </w:r>
    </w:p>
    <w:p w14:paraId="43A11D75"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c) wspomaga osiąganie spójności i konsensusu w Radzie Europejskiej;</w:t>
      </w:r>
    </w:p>
    <w:p w14:paraId="16F3F64A"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d) przedstawia Parlamentowi Europejskiemu sprawozdanie z każdego posiedzenia Rady Europejskiej.</w:t>
      </w:r>
    </w:p>
    <w:p w14:paraId="283C24C4"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Przewodniczący Rady Europejskiej zapewnia na swoim poziomie oraz w zakresie swojej właściwości reprezentację Unii na zewnątrz w sprawach dotyczących wspólnej polityki zagranicznej i bezpieczeństwa, bez uszczerbku dla uprawnień wysokiego przedstawiciela Unii do spraw zagranicznych i polityki bezpieczeństwa.</w:t>
      </w:r>
    </w:p>
    <w:p w14:paraId="265B294E"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Przewodniczący Rady Europejskiej nie może sprawować krajowej funkcji publicznej.</w:t>
      </w:r>
    </w:p>
    <w:p w14:paraId="124C4E5C" w14:textId="77777777" w:rsidR="008D11C0" w:rsidRPr="008D11C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16 TUE</w:t>
      </w:r>
    </w:p>
    <w:p w14:paraId="1466DBAB"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1. </w:t>
      </w:r>
      <w:r w:rsidRPr="008D11C0">
        <w:rPr>
          <w:rFonts w:ascii="Times New Roman" w:eastAsia="Times New Roman" w:hAnsi="Times New Roman" w:cs="Times New Roman"/>
          <w:b/>
          <w:i/>
          <w:u w:val="single"/>
          <w:lang w:eastAsia="pl-PL"/>
        </w:rPr>
        <w:t>Rada pełni, wspólnie z Parlamentem Europejskim, funkcje prawodawczą i budżetową. Pełni funkcje określania polityki i koordynacji zgodnie z warunkami przewidzianymi w Traktatach.</w:t>
      </w:r>
    </w:p>
    <w:p w14:paraId="4905E418"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2. </w:t>
      </w:r>
      <w:r w:rsidRPr="008D11C0">
        <w:rPr>
          <w:rFonts w:ascii="Times New Roman" w:eastAsia="Times New Roman" w:hAnsi="Times New Roman" w:cs="Times New Roman"/>
          <w:b/>
          <w:i/>
          <w:u w:val="single"/>
          <w:lang w:eastAsia="pl-PL"/>
        </w:rPr>
        <w:t>W skład Rady wchodzi jeden przedstawiciel szczebla ministerialnego z każdego Państwa Członkowskiego, upoważniony do zaciągania zobowiązań w imieniu rządu Państwa Członkowskiego, które reprezentuje, oraz do wykonywania prawa głosu.</w:t>
      </w:r>
    </w:p>
    <w:p w14:paraId="020C56AC"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3. O ile Traktaty nie stanowią inaczej, Rada stanowi większością kwalifikowaną.</w:t>
      </w:r>
    </w:p>
    <w:p w14:paraId="2E65B1D1"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4. Od 1 listopada 2014 roku większość kwalifikowaną stanowi co najmniej 55% członków Rady, jednak nie mniej niż piętnastu z nich, reprezentujących Państwa Członkowskie, których łączna liczba ludności stanowi co najmniej 65% ludności Unii.</w:t>
      </w:r>
    </w:p>
    <w:p w14:paraId="0E6374A6"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Mniejszość blokująca musi obejmować co najmniej czterech członków Rady, w przeciwnym razie uznaje się, że większość kwalifikowana została osiągnięta.</w:t>
      </w:r>
    </w:p>
    <w:p w14:paraId="187EC6FE"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Inne zasady dotyczące głosowania większością kwalifikowaną określone są w artykule 238 ustęp 2 Traktatu o funkcjonowaniu Unii Europejskiej.</w:t>
      </w:r>
    </w:p>
    <w:p w14:paraId="52A4CB13"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5. Postanowienia przejściowe dotyczące definicji większości kwalifikowanej, które obowiązują do 31 października 2014 roku, jak również postanowienia, które będą obowiązywać między 1 listopada 2014 roku a 31 marca 2017 roku, określone są w Protokole w sprawie postanowień przejściowych.</w:t>
      </w:r>
    </w:p>
    <w:p w14:paraId="170F78B6"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6. Rada zbiera się na posiedzenia w różnych składach, których wykaz przyjmowany jest zgodnie z artykułem 236 Traktatu o funkcjonowaniu Unii Europejskiej.</w:t>
      </w:r>
    </w:p>
    <w:p w14:paraId="4796ABAB"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Rada do Spraw Ogólnych zapewnia spójność prac różnych składów Rady. Przygotowuje posiedzenia Rady Europejskiej i zapewnia ich ciągłość, w powiązaniu z przewodniczącym Rady Europejskiej i Komisją.</w:t>
      </w:r>
    </w:p>
    <w:p w14:paraId="7A4498E2"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Rada do Spraw Zagranicznych opracowuje działania zewnętrzne Unii na podstawie strategicznych kierunków określonych przez Radę Europejską oraz zapewnia spójność działań Unii.</w:t>
      </w:r>
    </w:p>
    <w:p w14:paraId="34AA072B"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7. Za przygotowanie prac Rady odpowiada Komitet Stałych Przedstawicieli Rządów Państw Członkowskich.</w:t>
      </w:r>
    </w:p>
    <w:p w14:paraId="79E1DA34"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8. Posiedzenia Rady są jawne, kiedy Rada obraduje i głosuje nad projektem aktu ustawodawczego. W tym celu każde posiedzenie Rady składa się z dwóch części, poświęconych odpowiednio: obradom nad aktami ustawodawczymi Unii i działaniom o charakterze </w:t>
      </w:r>
      <w:proofErr w:type="spellStart"/>
      <w:r w:rsidRPr="008D11C0">
        <w:rPr>
          <w:rFonts w:ascii="Times New Roman" w:eastAsia="Times New Roman" w:hAnsi="Times New Roman" w:cs="Times New Roman"/>
          <w:i/>
          <w:lang w:eastAsia="pl-PL"/>
        </w:rPr>
        <w:t>nieustawodawczym</w:t>
      </w:r>
      <w:proofErr w:type="spellEnd"/>
      <w:r w:rsidRPr="008D11C0">
        <w:rPr>
          <w:rFonts w:ascii="Times New Roman" w:eastAsia="Times New Roman" w:hAnsi="Times New Roman" w:cs="Times New Roman"/>
          <w:i/>
          <w:lang w:eastAsia="pl-PL"/>
        </w:rPr>
        <w:t>.</w:t>
      </w:r>
    </w:p>
    <w:p w14:paraId="687CF812"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lastRenderedPageBreak/>
        <w:t>9. Prezydencję składów Rady, z wyjątkiem Rady do Spraw Zagranicznych, sprawują na zasadzie równej rotacji przedstawiciele Państw Członkowskich w Radzie, na warunkach określonych zgodnie z artykułem 236 Traktatu o funkcjonowaniu Unii Europejskiej.</w:t>
      </w:r>
    </w:p>
    <w:p w14:paraId="1D45BC0F" w14:textId="77777777" w:rsidR="008D11C0" w:rsidRPr="008D11C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17 TUE</w:t>
      </w:r>
    </w:p>
    <w:p w14:paraId="174C460C"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1. </w:t>
      </w:r>
      <w:r w:rsidRPr="008D11C0">
        <w:rPr>
          <w:rFonts w:ascii="Times New Roman" w:eastAsia="Times New Roman" w:hAnsi="Times New Roman" w:cs="Times New Roman"/>
          <w:b/>
          <w:i/>
          <w:u w:val="single"/>
          <w:lang w:eastAsia="pl-PL"/>
        </w:rPr>
        <w:t>Komisja wspiera ogólny interes Unii i podejmuje w tym celu odpowiednie inicjatywy. Czuwa ona nad stosowaniem Traktatów i środków przyjmowanych przez instytucje na ich podstawie. Nadzoruje stosowanie prawa Unii pod kontrolą Trybunału Sprawiedliwości Unii Europejskiej. Wykonuje budżet i zarządza programami. Pełni funkcje koordynacyjne, wykonawcze i zarządzające, zgodnie z warunkami przewidzianymi w Traktatach. Z wyjątkiem wspólnej polityki zagranicznej i bezpieczeństwa oraz innych przypadków przewidzianych w Traktatach, zapewnia reprezentację Unii na zewnątrz. Podejmuje inicjatywy w zakresie rocznego i wieloletniego programowania Unii w celu osiągnięcia porozumień międzyinstytucjonalnych.</w:t>
      </w:r>
    </w:p>
    <w:p w14:paraId="6427EF7B"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2. </w:t>
      </w:r>
      <w:r w:rsidRPr="008D11C0">
        <w:rPr>
          <w:rFonts w:ascii="Times New Roman" w:eastAsia="Times New Roman" w:hAnsi="Times New Roman" w:cs="Times New Roman"/>
          <w:b/>
          <w:i/>
          <w:u w:val="single"/>
          <w:lang w:eastAsia="pl-PL"/>
        </w:rPr>
        <w:t>O ile Traktaty nie stanowią inaczej, akty ustawodawcze Unii mogą zostać przyjęte wyłącznie na wniosek Komisji</w:t>
      </w:r>
      <w:r w:rsidRPr="008D11C0">
        <w:rPr>
          <w:rFonts w:ascii="Times New Roman" w:eastAsia="Times New Roman" w:hAnsi="Times New Roman" w:cs="Times New Roman"/>
          <w:i/>
          <w:lang w:eastAsia="pl-PL"/>
        </w:rPr>
        <w:t>. Pozostałe akty są przyjmowane na wniosek Komisji, jeżeli Traktaty tak stanowią.</w:t>
      </w:r>
    </w:p>
    <w:p w14:paraId="6B1B3991"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b/>
          <w:i/>
          <w:u w:val="single"/>
          <w:lang w:eastAsia="pl-PL"/>
        </w:rPr>
      </w:pPr>
      <w:r w:rsidRPr="008D11C0">
        <w:rPr>
          <w:rFonts w:ascii="Times New Roman" w:eastAsia="Times New Roman" w:hAnsi="Times New Roman" w:cs="Times New Roman"/>
          <w:i/>
          <w:lang w:eastAsia="pl-PL"/>
        </w:rPr>
        <w:t xml:space="preserve">3. </w:t>
      </w:r>
      <w:r w:rsidRPr="008D11C0">
        <w:rPr>
          <w:rFonts w:ascii="Times New Roman" w:eastAsia="Times New Roman" w:hAnsi="Times New Roman" w:cs="Times New Roman"/>
          <w:b/>
          <w:i/>
          <w:u w:val="single"/>
          <w:lang w:eastAsia="pl-PL"/>
        </w:rPr>
        <w:t>Kadencja Komisji wynosi pięć lat.</w:t>
      </w:r>
    </w:p>
    <w:p w14:paraId="0E7C617F"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Członkowie Komisji są wybierani ze względu na swe ogólne kwalifikacje i zaangażowanie w sprawy europejskie spośród osób, których niezależność jest niekwestionowana.</w:t>
      </w:r>
    </w:p>
    <w:p w14:paraId="54B4F551"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b/>
          <w:i/>
          <w:u w:val="single"/>
          <w:lang w:eastAsia="pl-PL"/>
        </w:rPr>
        <w:t>Komisja jest całkowicie niezależna w wykonywaniu swoich zadań</w:t>
      </w:r>
      <w:r w:rsidRPr="008D11C0">
        <w:rPr>
          <w:rFonts w:ascii="Times New Roman" w:eastAsia="Times New Roman" w:hAnsi="Times New Roman" w:cs="Times New Roman"/>
          <w:i/>
          <w:lang w:eastAsia="pl-PL"/>
        </w:rPr>
        <w:t>. Bez uszczerbku dla artykułu 18 ustęp 2, członkowie Komisji nie zwracają się o instrukcje ani ich nie przyjmują od żadnego rządu, instytucji, organu lub jednostki organizacyjnej. Powstrzymują się oni od podejmowania wszelkich działań niezgodnych z charakterem ich funkcji lub wykonywaniem ich zadań.</w:t>
      </w:r>
    </w:p>
    <w:p w14:paraId="3D33F666"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4. W skład Komisji mianowanej między datą wejścia w życie Traktatu z Lizbony a 31 października 2014 roku wchodzi jeden obywatel każdego Państwa Członkowskiego, przy czym skład ten obejmuje jej przewodniczącego i wysokiego przedstawiciela Unii do spraw zagranicznych i polityki bezpieczeństwa, który jest jednym z wiceprzewodniczących Komisji.</w:t>
      </w:r>
    </w:p>
    <w:p w14:paraId="0D8075F5"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5. Od 1 listopada 2014 roku Komisja składa się z takiej liczby członków, w tym z jej przewodniczącego i wysokiego przedstawiciela Unii do spraw zagranicznych i polityki bezpieczeństwa, która odpowiada dwóm trzecim liczby Państw Członkowskich, chyba że Rada Europejska, stanowiąc jednomyślnie, podejmie decyzję o zmianie tej liczby.</w:t>
      </w:r>
    </w:p>
    <w:p w14:paraId="1439F5BF"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Członkowie Komisji są wybierani spośród obywateli Państw Członkowskich na podstawie systemu bezwzględnie równej rotacji pomiędzy Państwami Członkowskimi, który pozwala odzwierciedlić różnorodność demograficzną i geograficzną wszystkich Państw Członkowskich. System ten jest ustanawiany jednomyślnie przez Radę Europejską zgodnie z artykułem 244 Traktatu o funkcjonowaniu Unii Europejskiej.</w:t>
      </w:r>
    </w:p>
    <w:p w14:paraId="0E956DA4"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6. Przewodniczący Komisji:</w:t>
      </w:r>
    </w:p>
    <w:p w14:paraId="159BEA79" w14:textId="77777777" w:rsidR="008D11C0" w:rsidRPr="008D11C0" w:rsidRDefault="008D11C0" w:rsidP="00945770">
      <w:pPr>
        <w:spacing w:after="0"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a) określa wytyczne, w ramach których Komisja wykonuje swoje zadania; </w:t>
      </w:r>
    </w:p>
    <w:p w14:paraId="197ED8C9"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b) decyduje o wewnętrznej organizacji Komisji tak, aby zapewnić spójność, skuteczność i kolegialność jej działania;</w:t>
      </w:r>
    </w:p>
    <w:p w14:paraId="324F4CAB"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c) mianuje wiceprzewodniczących, innych niż wysoki przedstawiciel Unii do spraw zagranicznych i polityki bezpieczeństwa, spośród członków Komisji.</w:t>
      </w:r>
    </w:p>
    <w:p w14:paraId="273D180F"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lastRenderedPageBreak/>
        <w:t>Członek Komisji składa rezygnację, jeżeli przewodniczący tego zażąda. Wysoki przedstawiciel Unii do spraw zagranicznych i polityki bezpieczeństwa składa rezygnację, zgodnie z procedurą przewidzianą w artykule 18 ustęp 1, jeżeli przewodniczący tego zażąda.</w:t>
      </w:r>
    </w:p>
    <w:p w14:paraId="6DD0CC6A"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7. Uwzględniając wybory do Parlamentu Europejskiego i po przeprowadzeniu stosownych konsultacji, Rada Europejska, stanowiąc większością kwalifikowaną, przedstawia Parlamentowi Europejskiemu kandydata na funkcję przewodniczącego Komisji. Kandydat ten jest wybierany przez Parlament Europejski większością głosów członków wchodzących w jego skład. Jeżeli nie uzyska on większości, Rada Europejska, stanowiąc większością kwalifikowaną, przedstawia, w terminie miesiąca, nowego kandydata, który jest wybierany przez Parlament Europejski zgodnie z tą samą procedurą.</w:t>
      </w:r>
    </w:p>
    <w:p w14:paraId="7E3EFDF5"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Rada, za wspólnym porozumieniem z wybranym przewodniczącym, przyjmuje listę pozostałych osób, które proponuje mianować członkami Komisji. Są oni wybierani na podstawie sugestii zgłaszanych przez Państwa Członkowskie, zgodnie z kryteriami przewidzianymi w ustępie 3 akapit drugi i w ustępie 5 akapit drugi.</w:t>
      </w:r>
    </w:p>
    <w:p w14:paraId="51A19F28"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Przewodniczący, wysoki przedstawiciel Unii do spraw zagranicznych i polityki bezpieczeństwa i pozostali członkowie Komisji podlegają kolegialnie zatwierdzeniu w drodze głosowania przez Parlament Europejski. Na podstawie takiego zatwierdzenia Rada Europejska mianuje Komisję, stanowiąc większością kwalifikowaną.</w:t>
      </w:r>
    </w:p>
    <w:p w14:paraId="4063A4D0"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8. Komisja ponosi kolegialnie odpowiedzialność przed Parlamentem Europejskim. Zgodnie z artykułem 234 Traktatu o funkcjonowaniu Unii Europejskiej Parlament Europejski może uchwalić wotum nieufności w stosunku do Komisji. W przypadku uchwalenia wotum nieufności członkowie Komisji kolegialnie rezygnują ze swoich funkcji, a wysoki przedstawiciel Unii do spraw zagranicznych i polityki bezpieczeństwa rezygnuje z funkcji pełnionych w ramach Komisji.</w:t>
      </w:r>
    </w:p>
    <w:p w14:paraId="49B68CE3" w14:textId="77777777" w:rsidR="00F2187B" w:rsidRPr="0094577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18 TUE</w:t>
      </w:r>
    </w:p>
    <w:p w14:paraId="7B47CBAF"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1. </w:t>
      </w:r>
      <w:r w:rsidRPr="008D11C0">
        <w:rPr>
          <w:rFonts w:ascii="Times New Roman" w:eastAsia="Times New Roman" w:hAnsi="Times New Roman" w:cs="Times New Roman"/>
          <w:b/>
          <w:i/>
          <w:u w:val="single"/>
          <w:lang w:eastAsia="pl-PL"/>
        </w:rPr>
        <w:t>Rada Europejska, stanowiąc większością kwalifikowaną, za zgodą przewodniczącego Komisji, mianuje wysokiego przedstawiciela Unii do spraw zagranicznych i polityki bezpieczeństwa.</w:t>
      </w:r>
      <w:r w:rsidRPr="008D11C0">
        <w:rPr>
          <w:rFonts w:ascii="Times New Roman" w:eastAsia="Times New Roman" w:hAnsi="Times New Roman" w:cs="Times New Roman"/>
          <w:i/>
          <w:lang w:eastAsia="pl-PL"/>
        </w:rPr>
        <w:t xml:space="preserve"> Rada Europejska może zakończyć jego kadencję zgodnie z tą samą procedurą.</w:t>
      </w:r>
    </w:p>
    <w:p w14:paraId="0C5DF602"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2. Wysoki przedstawiciel prowadzi wspólną politykę zagraniczną i bezpieczeństwa Unii. Przyczynia się, poprzez swoje propozycje, do opracowania tej polityki i realizuje ją działając z upoważnienia Rady. Dotyczy to także wspólnej polityki bezpieczeństwa i obrony.</w:t>
      </w:r>
    </w:p>
    <w:p w14:paraId="0BB360E7"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3. Wysoki przedstawiciel przewodniczy Radzie do Spraw Zagranicznych.</w:t>
      </w:r>
    </w:p>
    <w:p w14:paraId="7B993DE7"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4. Wysoki przedstawiciel jest jednym z wiceprzewodniczących Komisji. Czuwa nad spójnością działań zewnętrznych Unii. Odpowiada w ramach Komisji za jej obowiązki w dziedzinie stosunków zewnętrznych i koordynację innych aspektów działań zewnętrznych Unii. W wykonywaniu tych obowiązków w ramach Komisji, i tylko w odniesieniu do tych obowiązków, wysoki przedstawiciel podlega procedurom regulującym funkcjonowanie Komisji w zakresie, w jakim jest to zgodne z ustępami 2 i 3.</w:t>
      </w:r>
    </w:p>
    <w:p w14:paraId="40E8CBC4" w14:textId="77777777" w:rsidR="008D11C0" w:rsidRPr="008D11C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19 TUE</w:t>
      </w:r>
    </w:p>
    <w:p w14:paraId="3DDDF9FE"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1. Trybunał Sprawiedliwości Unii Europejskiej obejmuje Trybunał Sprawiedliwości, Sąd i sądy wyspecjalizowane. Zapewnia on poszanowanie prawa w wykładni i stosowaniu Traktatów.</w:t>
      </w:r>
    </w:p>
    <w:p w14:paraId="07CC4C4F"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Państwa Członkowskie ustanawiają środki niezbędne do zapewnienia skutecznej ochrony prawnej w dziedzinach objętych prawem Unii.</w:t>
      </w:r>
    </w:p>
    <w:p w14:paraId="43982DAB"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2. W skład Trybunału Sprawiedliwości wchodzi jeden sędzia z każdego Państwa Członkowskiego. Trybunał Sprawiedliwości jest wspomagany przez rzeczników generalnych.</w:t>
      </w:r>
    </w:p>
    <w:p w14:paraId="401CD116"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lastRenderedPageBreak/>
        <w:t>W skład Sądu wchodzi co najmniej jeden sędzia z każdego Państwa Członkowskiego.</w:t>
      </w:r>
    </w:p>
    <w:p w14:paraId="2C8E1C46"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Sędziowie i rzecznicy generalni Trybunału Sprawiedliwości oraz sędziowie Sądu są wybierani spośród osób o niekwestionowanej niezależności, spełniających warunki określone w artykułach 253 i 254 Traktatu o funkcjonowaniu Unii Europejskiej. Są oni mianowani za wspólnym porozumieniem przez rządy Państw Członkowskich na okres sześciu lat. Ustępujący sędziowie i rzecznicy generalni mogą być ponownie mianowani.</w:t>
      </w:r>
    </w:p>
    <w:p w14:paraId="62DF76C1" w14:textId="77777777" w:rsidR="008D11C0" w:rsidRPr="008D11C0" w:rsidRDefault="008D11C0" w:rsidP="00945770">
      <w:pPr>
        <w:spacing w:before="100" w:beforeAutospacing="1" w:after="100" w:afterAutospacing="1" w:line="240" w:lineRule="auto"/>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3. Trybunał Sprawiedliwości Unii Europejskiej orzeka zgodnie z Traktatami:</w:t>
      </w:r>
    </w:p>
    <w:p w14:paraId="31DBB556" w14:textId="77777777" w:rsidR="008D11C0" w:rsidRPr="008D11C0" w:rsidRDefault="008D11C0" w:rsidP="00945770">
      <w:pPr>
        <w:spacing w:after="0"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 xml:space="preserve">a) w zakresie skarg wniesionych przez Państwa Członkowskie, instytucje lub osoby fizyczne lub prawne; </w:t>
      </w:r>
    </w:p>
    <w:p w14:paraId="54C87B4F" w14:textId="77777777" w:rsidR="008D11C0" w:rsidRPr="008D11C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b) w trybie prejudycjalnym, na wniosek sądów Państw Członkowskich, w sprawie wykładni prawa Unii lub ważności aktów przyjętych przez instytucje;</w:t>
      </w:r>
    </w:p>
    <w:p w14:paraId="2A2F6216" w14:textId="77777777" w:rsidR="008D11C0" w:rsidRPr="00945770" w:rsidRDefault="008D11C0" w:rsidP="00945770">
      <w:pPr>
        <w:spacing w:before="100" w:beforeAutospacing="1" w:after="100" w:afterAutospacing="1" w:line="240" w:lineRule="auto"/>
        <w:ind w:left="720"/>
        <w:jc w:val="both"/>
        <w:rPr>
          <w:rFonts w:ascii="Times New Roman" w:eastAsia="Times New Roman" w:hAnsi="Times New Roman" w:cs="Times New Roman"/>
          <w:i/>
          <w:lang w:eastAsia="pl-PL"/>
        </w:rPr>
      </w:pPr>
      <w:r w:rsidRPr="008D11C0">
        <w:rPr>
          <w:rFonts w:ascii="Times New Roman" w:eastAsia="Times New Roman" w:hAnsi="Times New Roman" w:cs="Times New Roman"/>
          <w:i/>
          <w:lang w:eastAsia="pl-PL"/>
        </w:rPr>
        <w:t>c) w innych sprawach przewidzianych w Traktatach.</w:t>
      </w:r>
    </w:p>
    <w:p w14:paraId="76D2BE68" w14:textId="77777777" w:rsidR="00F2187B" w:rsidRPr="00945770" w:rsidRDefault="00F2187B" w:rsidP="00945770">
      <w:pPr>
        <w:pStyle w:val="Akapitzlist"/>
        <w:numPr>
          <w:ilvl w:val="0"/>
          <w:numId w:val="3"/>
        </w:numPr>
        <w:spacing w:before="100" w:beforeAutospacing="1" w:after="100" w:afterAutospacing="1" w:line="240" w:lineRule="auto"/>
        <w:ind w:left="426" w:hanging="426"/>
        <w:jc w:val="both"/>
        <w:rPr>
          <w:rFonts w:ascii="Times New Roman" w:eastAsia="Times New Roman" w:hAnsi="Times New Roman" w:cs="Times New Roman"/>
          <w:b/>
          <w:lang w:eastAsia="pl-PL"/>
        </w:rPr>
      </w:pPr>
      <w:r w:rsidRPr="00945770">
        <w:rPr>
          <w:rFonts w:ascii="Times New Roman" w:eastAsia="Times New Roman" w:hAnsi="Times New Roman" w:cs="Times New Roman"/>
          <w:b/>
          <w:lang w:eastAsia="pl-PL"/>
        </w:rPr>
        <w:t>postanowienia końcowe</w:t>
      </w:r>
    </w:p>
    <w:p w14:paraId="0DDF8283" w14:textId="77777777" w:rsidR="00F2187B" w:rsidRPr="00945770" w:rsidRDefault="00F2187B" w:rsidP="00945770">
      <w:pPr>
        <w:spacing w:line="240" w:lineRule="auto"/>
        <w:jc w:val="both"/>
        <w:rPr>
          <w:rFonts w:ascii="Times New Roman" w:hAnsi="Times New Roman" w:cs="Times New Roman"/>
          <w:b/>
        </w:rPr>
      </w:pPr>
      <w:r w:rsidRPr="00945770">
        <w:rPr>
          <w:rFonts w:ascii="Times New Roman" w:hAnsi="Times New Roman" w:cs="Times New Roman"/>
          <w:b/>
        </w:rPr>
        <w:t>Art. 47 TUE</w:t>
      </w:r>
    </w:p>
    <w:p w14:paraId="529E9043" w14:textId="77777777" w:rsidR="00F2187B" w:rsidRPr="00945770" w:rsidRDefault="00F2187B" w:rsidP="00945770">
      <w:pPr>
        <w:pStyle w:val="NormalnyWeb"/>
        <w:jc w:val="both"/>
        <w:rPr>
          <w:i/>
          <w:sz w:val="22"/>
          <w:szCs w:val="22"/>
        </w:rPr>
      </w:pPr>
      <w:r w:rsidRPr="00945770">
        <w:rPr>
          <w:i/>
          <w:sz w:val="22"/>
          <w:szCs w:val="22"/>
        </w:rPr>
        <w:t>Unia ma osobowość prawną.</w:t>
      </w:r>
    </w:p>
    <w:p w14:paraId="28114EC8" w14:textId="77777777" w:rsidR="00F2187B" w:rsidRPr="00945770" w:rsidRDefault="00F2187B" w:rsidP="00945770">
      <w:pPr>
        <w:spacing w:line="240" w:lineRule="auto"/>
        <w:jc w:val="both"/>
        <w:rPr>
          <w:rStyle w:val="Uwydatnienie"/>
          <w:rFonts w:ascii="Times New Roman" w:hAnsi="Times New Roman" w:cs="Times New Roman"/>
          <w:b/>
          <w:i w:val="0"/>
          <w:iCs w:val="0"/>
        </w:rPr>
      </w:pPr>
      <w:r w:rsidRPr="00945770">
        <w:rPr>
          <w:rFonts w:ascii="Times New Roman" w:hAnsi="Times New Roman" w:cs="Times New Roman"/>
          <w:b/>
        </w:rPr>
        <w:t>Art. 48 TUE</w:t>
      </w:r>
    </w:p>
    <w:p w14:paraId="3B080C79" w14:textId="77777777" w:rsidR="00F2187B" w:rsidRPr="00945770" w:rsidRDefault="00F2187B" w:rsidP="00945770">
      <w:pPr>
        <w:pStyle w:val="NormalnyWeb"/>
        <w:jc w:val="both"/>
        <w:rPr>
          <w:i/>
          <w:sz w:val="22"/>
          <w:szCs w:val="22"/>
        </w:rPr>
      </w:pPr>
      <w:r w:rsidRPr="00945770">
        <w:rPr>
          <w:i/>
          <w:sz w:val="22"/>
          <w:szCs w:val="22"/>
        </w:rPr>
        <w:t>1. Traktaty mogą być zmieniane zgodnie ze zwykłą procedurą zmiany. Mogą być też zmieniane zgodnie z uproszczonymi procedurami zmiany.</w:t>
      </w:r>
    </w:p>
    <w:p w14:paraId="3ED3522D" w14:textId="77777777" w:rsidR="00F2187B" w:rsidRPr="00945770" w:rsidRDefault="00F2187B" w:rsidP="00945770">
      <w:pPr>
        <w:pStyle w:val="NormalnyWeb"/>
        <w:jc w:val="both"/>
        <w:rPr>
          <w:i/>
          <w:sz w:val="22"/>
          <w:szCs w:val="22"/>
        </w:rPr>
      </w:pPr>
      <w:r w:rsidRPr="00945770">
        <w:rPr>
          <w:rStyle w:val="Uwydatnienie"/>
          <w:sz w:val="22"/>
          <w:szCs w:val="22"/>
        </w:rPr>
        <w:t>Zwykła procedura zmiany</w:t>
      </w:r>
    </w:p>
    <w:p w14:paraId="4C04687B" w14:textId="77777777" w:rsidR="00F2187B" w:rsidRPr="00945770" w:rsidRDefault="00F2187B" w:rsidP="00945770">
      <w:pPr>
        <w:pStyle w:val="NormalnyWeb"/>
        <w:jc w:val="both"/>
        <w:rPr>
          <w:i/>
          <w:sz w:val="22"/>
          <w:szCs w:val="22"/>
        </w:rPr>
      </w:pPr>
      <w:r w:rsidRPr="00945770">
        <w:rPr>
          <w:i/>
          <w:sz w:val="22"/>
          <w:szCs w:val="22"/>
        </w:rPr>
        <w:t>2. Rząd każdego Państwa Członkowskiego, Parlament Europejski lub Komisja mogą przedkładać Radzie propozycje zmiany Traktatów. Propozycje te mogą mieć na celu, między innymi, rozszerzenie lub ograniczenie kompetencji przyznanych Unii w Traktatach. Propozycje te są przekazywane przez Radę Radzie Europejskiej oraz notyfikowane parlamentom narodowym.</w:t>
      </w:r>
    </w:p>
    <w:p w14:paraId="6029123F" w14:textId="77777777" w:rsidR="00F2187B" w:rsidRPr="00945770" w:rsidRDefault="00F2187B" w:rsidP="00945770">
      <w:pPr>
        <w:pStyle w:val="NormalnyWeb"/>
        <w:jc w:val="both"/>
        <w:rPr>
          <w:i/>
          <w:sz w:val="22"/>
          <w:szCs w:val="22"/>
        </w:rPr>
      </w:pPr>
      <w:r w:rsidRPr="00945770">
        <w:rPr>
          <w:i/>
          <w:sz w:val="22"/>
          <w:szCs w:val="22"/>
        </w:rPr>
        <w:t>3. Jeżeli Rada Europejska, po konsultacji z Parlamentem Europejskim i Komisją, podejmie zwykłą większością decyzję, w której opowie się za rozpatrzeniem proponowanych zmian, przewodniczący Rady Europejskiej zwołuje konwent złożony z przedstawicieli parlamentów narodowych, szefów państw lub rządów Państw Członkowskich, Parlamentu Europejskiego i Komisji. W przypadku zmian instytucjonalnych w dziedzinie pieniężnej konsultowany jest również Europejski Bank Centralny. Konwent rozpatruje propozycje zmian i przyjmuje, w drodze konsensusu, zalecenie dla Konferencji przedstawicieli rządów Państw Członkowskich przewidzianej w ustępie 4.</w:t>
      </w:r>
    </w:p>
    <w:p w14:paraId="22ADD361" w14:textId="77777777" w:rsidR="00F2187B" w:rsidRPr="00945770" w:rsidRDefault="00F2187B" w:rsidP="00945770">
      <w:pPr>
        <w:pStyle w:val="NormalnyWeb"/>
        <w:jc w:val="both"/>
        <w:rPr>
          <w:i/>
          <w:sz w:val="22"/>
          <w:szCs w:val="22"/>
        </w:rPr>
      </w:pPr>
      <w:r w:rsidRPr="00945770">
        <w:rPr>
          <w:i/>
          <w:sz w:val="22"/>
          <w:szCs w:val="22"/>
        </w:rPr>
        <w:t>Rada Europejska może zwykłą większością, po uzyskaniu zgody Parlamentu Europejskiego, podjąć decyzję o niezwoływaniu konwentu, jeżeli zakres proponowanych zmian nie uzasadnia jego zwołania. W takim przypadku Rada Europejska określa mandat Konferencji przedstawicieli rządów Państw Członkowskich.</w:t>
      </w:r>
    </w:p>
    <w:p w14:paraId="0192F793" w14:textId="77777777" w:rsidR="00F2187B" w:rsidRPr="00945770" w:rsidRDefault="00F2187B" w:rsidP="00945770">
      <w:pPr>
        <w:pStyle w:val="NormalnyWeb"/>
        <w:jc w:val="both"/>
        <w:rPr>
          <w:i/>
          <w:sz w:val="22"/>
          <w:szCs w:val="22"/>
        </w:rPr>
      </w:pPr>
      <w:r w:rsidRPr="00945770">
        <w:rPr>
          <w:i/>
          <w:sz w:val="22"/>
          <w:szCs w:val="22"/>
        </w:rPr>
        <w:t>4. Konferencję przedstawicieli rządów Państw Członkowskich zwołuje przewodniczący Rady w celu uchwalenia za wspólnym porozumieniem zmian, jakie mają zostać dokonane w Traktatach.</w:t>
      </w:r>
    </w:p>
    <w:p w14:paraId="7E3072E1" w14:textId="77777777" w:rsidR="00F2187B" w:rsidRPr="00945770" w:rsidRDefault="00F2187B" w:rsidP="00945770">
      <w:pPr>
        <w:pStyle w:val="NormalnyWeb"/>
        <w:jc w:val="both"/>
        <w:rPr>
          <w:i/>
          <w:sz w:val="22"/>
          <w:szCs w:val="22"/>
        </w:rPr>
      </w:pPr>
      <w:r w:rsidRPr="00945770">
        <w:rPr>
          <w:i/>
          <w:sz w:val="22"/>
          <w:szCs w:val="22"/>
        </w:rPr>
        <w:t>Zmiany wchodzą w życie po ich ratyfikowaniu przez wszystkie Państwa Członkowskie, zgodnie z ich odpowiednimi wymogami konstytucyjnymi.</w:t>
      </w:r>
    </w:p>
    <w:p w14:paraId="23B40F96" w14:textId="77777777" w:rsidR="00F2187B" w:rsidRPr="00945770" w:rsidRDefault="00F2187B" w:rsidP="00945770">
      <w:pPr>
        <w:pStyle w:val="NormalnyWeb"/>
        <w:jc w:val="both"/>
        <w:rPr>
          <w:i/>
          <w:sz w:val="22"/>
          <w:szCs w:val="22"/>
        </w:rPr>
      </w:pPr>
      <w:r w:rsidRPr="00945770">
        <w:rPr>
          <w:i/>
          <w:sz w:val="22"/>
          <w:szCs w:val="22"/>
        </w:rPr>
        <w:lastRenderedPageBreak/>
        <w:t>5. Jeżeli po upływie dwóch lat od podpisania traktatu zmieniającego Traktaty, został on ratyfikowany przez cztery piąte Państw Członkowskich i gdy jedno lub więcej Państw Członkowskich napotkało trudności w postępowaniu ratyfikacyjnym, sprawę kieruje się do Rady Europejskiej.</w:t>
      </w:r>
    </w:p>
    <w:p w14:paraId="4DC6B772" w14:textId="77777777" w:rsidR="00F2187B" w:rsidRPr="00945770" w:rsidRDefault="00F2187B" w:rsidP="00945770">
      <w:pPr>
        <w:pStyle w:val="NormalnyWeb"/>
        <w:jc w:val="both"/>
        <w:rPr>
          <w:i/>
          <w:sz w:val="22"/>
          <w:szCs w:val="22"/>
        </w:rPr>
      </w:pPr>
      <w:r w:rsidRPr="00945770">
        <w:rPr>
          <w:rStyle w:val="Uwydatnienie"/>
          <w:sz w:val="22"/>
          <w:szCs w:val="22"/>
        </w:rPr>
        <w:t xml:space="preserve">Uproszczone procedury zmiany </w:t>
      </w:r>
    </w:p>
    <w:p w14:paraId="5B7874F7" w14:textId="77777777" w:rsidR="00F2187B" w:rsidRPr="00945770" w:rsidRDefault="00F2187B" w:rsidP="00945770">
      <w:pPr>
        <w:pStyle w:val="NormalnyWeb"/>
        <w:jc w:val="both"/>
        <w:rPr>
          <w:i/>
          <w:sz w:val="22"/>
          <w:szCs w:val="22"/>
        </w:rPr>
      </w:pPr>
      <w:r w:rsidRPr="00945770">
        <w:rPr>
          <w:i/>
          <w:sz w:val="22"/>
          <w:szCs w:val="22"/>
        </w:rPr>
        <w:t>6. Rząd każdego Państwa Członkowskiego, Parlament Europejski lub Komisja mogą przedkładać Radzie Europejskiej propozycje dotyczące zmiany wszystkich lub części postanowień części trzeciej Traktatu o funkcjonowaniu Unii Europejskiej, dotyczących wewnętrznych polityk i działań Unii.</w:t>
      </w:r>
    </w:p>
    <w:p w14:paraId="372C1ECB" w14:textId="77777777" w:rsidR="00F2187B" w:rsidRPr="00945770" w:rsidRDefault="00F2187B" w:rsidP="00945770">
      <w:pPr>
        <w:pStyle w:val="NormalnyWeb"/>
        <w:jc w:val="both"/>
        <w:rPr>
          <w:i/>
          <w:sz w:val="22"/>
          <w:szCs w:val="22"/>
        </w:rPr>
      </w:pPr>
      <w:r w:rsidRPr="00945770">
        <w:rPr>
          <w:i/>
          <w:sz w:val="22"/>
          <w:szCs w:val="22"/>
        </w:rPr>
        <w:t>Rada Europejska może przyjąć decyzję zmieniającą wszystkie lub część postanowień części trzeciej Traktatu o funkcjonowaniu Unii Europejskiej. Rada Europejska stanowi jednomyślnie po konsultacji z Parlamentem Europejskim i Komisją oraz z Europejskim Bankiem Centralnym w przypadkach zmian instytucjonalnych w dziedzinie pieniężnej. Decyzja ta wchodzi w życie dopiero po jej zatwierdzeniu przez Państwa Członkowskie, zgodnie z ich odpowiednimi wymogami konstytucyjnymi.</w:t>
      </w:r>
    </w:p>
    <w:p w14:paraId="32A61D46" w14:textId="77777777" w:rsidR="00F2187B" w:rsidRPr="00945770" w:rsidRDefault="00F2187B" w:rsidP="00945770">
      <w:pPr>
        <w:pStyle w:val="NormalnyWeb"/>
        <w:jc w:val="both"/>
        <w:rPr>
          <w:i/>
          <w:sz w:val="22"/>
          <w:szCs w:val="22"/>
        </w:rPr>
      </w:pPr>
      <w:r w:rsidRPr="00945770">
        <w:rPr>
          <w:i/>
          <w:sz w:val="22"/>
          <w:szCs w:val="22"/>
        </w:rPr>
        <w:t>Decyzja, o której mowa w akapicie drugim, nie może zwiększyć kompetencji przyznanych Unii w Traktatach.</w:t>
      </w:r>
    </w:p>
    <w:p w14:paraId="29BDE3DE" w14:textId="77777777" w:rsidR="00F2187B" w:rsidRPr="00945770" w:rsidRDefault="00F2187B" w:rsidP="00945770">
      <w:pPr>
        <w:pStyle w:val="NormalnyWeb"/>
        <w:jc w:val="both"/>
        <w:rPr>
          <w:i/>
          <w:sz w:val="22"/>
          <w:szCs w:val="22"/>
        </w:rPr>
      </w:pPr>
      <w:r w:rsidRPr="00945770">
        <w:rPr>
          <w:i/>
          <w:sz w:val="22"/>
          <w:szCs w:val="22"/>
        </w:rPr>
        <w:t>7. Jeżeli Traktat o funkcjonowaniu Unii Europejskiej lub tytuł V niniejszego Traktatu przewiduje, że Rada stanowi jednomyślnie w danej dziedzinie lub w danym przypadku, Rada Europejska może przyjąć decyzję upoważniającą Radę do stanowienia większością kwalifikowaną w tej dziedzinie lub w tym przypadku. Niniejszego akapitu nie stosuje się do decyzji mających wpływ na kwestie wojskowe lub obronne.</w:t>
      </w:r>
    </w:p>
    <w:p w14:paraId="74DB8287" w14:textId="77777777" w:rsidR="00F2187B" w:rsidRPr="00945770" w:rsidRDefault="00F2187B" w:rsidP="00945770">
      <w:pPr>
        <w:pStyle w:val="NormalnyWeb"/>
        <w:jc w:val="both"/>
        <w:rPr>
          <w:i/>
          <w:sz w:val="22"/>
          <w:szCs w:val="22"/>
        </w:rPr>
      </w:pPr>
      <w:r w:rsidRPr="00945770">
        <w:rPr>
          <w:i/>
          <w:sz w:val="22"/>
          <w:szCs w:val="22"/>
        </w:rPr>
        <w:t>Jeżeli Traktat o funkcjonowaniu Unii Europejskiej przewiduje, że akty ustawodawcze przyjmowane są przez Radę zgodnie ze specjalną procedurą ustawodawczą, Rada Europejska może przyjąć decyzję zezwalającą na przyjęcie takich aktów zgodnie ze zwykłą procedurą ustawodawczą.</w:t>
      </w:r>
    </w:p>
    <w:p w14:paraId="242B6ECE" w14:textId="77777777" w:rsidR="00F2187B" w:rsidRPr="00945770" w:rsidRDefault="00F2187B" w:rsidP="00945770">
      <w:pPr>
        <w:pStyle w:val="NormalnyWeb"/>
        <w:jc w:val="both"/>
        <w:rPr>
          <w:i/>
          <w:sz w:val="22"/>
          <w:szCs w:val="22"/>
        </w:rPr>
      </w:pPr>
      <w:r w:rsidRPr="00945770">
        <w:rPr>
          <w:i/>
          <w:sz w:val="22"/>
          <w:szCs w:val="22"/>
        </w:rPr>
        <w:t>Wszelkie inicjatywy podejmowane przez Radę Europejską na podstawie akapitu pierwszego lub drugiego są przekazywane parlamentom narodowym. W przypadku gdy parlament narodowy notyfikuje swój sprzeciw w terminie sześciu miesięcy od takiego przekazania, decyzja, o której mowa w akapicie pierwszym lub drugim, nie zostaje przyjęta. W przypadku braku sprzeciwu Rada Europejska może przyjąć taką decyzję.</w:t>
      </w:r>
    </w:p>
    <w:p w14:paraId="31468EC2" w14:textId="77777777" w:rsidR="00F2187B" w:rsidRPr="00945770" w:rsidRDefault="00F2187B" w:rsidP="00945770">
      <w:pPr>
        <w:pStyle w:val="NormalnyWeb"/>
        <w:jc w:val="both"/>
        <w:rPr>
          <w:i/>
          <w:sz w:val="22"/>
          <w:szCs w:val="22"/>
        </w:rPr>
      </w:pPr>
      <w:r w:rsidRPr="00945770">
        <w:rPr>
          <w:i/>
          <w:sz w:val="22"/>
          <w:szCs w:val="22"/>
        </w:rPr>
        <w:t>W celu przyjęcia decyzji, o których mowa w akapicie pierwszym lub drugim, Rada Europejska stanowi jednomyślnie po uzyskaniu zgody Parlamentu Europejskiego, wyrażonej przez większość członków wchodzących w jego skład.</w:t>
      </w:r>
    </w:p>
    <w:p w14:paraId="7ADF6B9C" w14:textId="77777777" w:rsidR="00F2187B" w:rsidRPr="00945770" w:rsidRDefault="00F2187B" w:rsidP="00945770">
      <w:pPr>
        <w:spacing w:line="240" w:lineRule="auto"/>
        <w:jc w:val="both"/>
        <w:rPr>
          <w:rStyle w:val="Uwydatnienie"/>
          <w:rFonts w:ascii="Times New Roman" w:hAnsi="Times New Roman" w:cs="Times New Roman"/>
          <w:b/>
          <w:i w:val="0"/>
          <w:iCs w:val="0"/>
        </w:rPr>
      </w:pPr>
      <w:r w:rsidRPr="00945770">
        <w:rPr>
          <w:rFonts w:ascii="Times New Roman" w:hAnsi="Times New Roman" w:cs="Times New Roman"/>
          <w:b/>
        </w:rPr>
        <w:t>Art. 49 TUE</w:t>
      </w:r>
    </w:p>
    <w:p w14:paraId="68303648" w14:textId="77777777" w:rsidR="00F2187B" w:rsidRPr="00945770" w:rsidRDefault="00F2187B" w:rsidP="00945770">
      <w:pPr>
        <w:pStyle w:val="NormalnyWeb"/>
        <w:jc w:val="both"/>
        <w:rPr>
          <w:i/>
          <w:sz w:val="22"/>
          <w:szCs w:val="22"/>
        </w:rPr>
      </w:pPr>
      <w:r w:rsidRPr="00945770">
        <w:rPr>
          <w:i/>
          <w:sz w:val="22"/>
          <w:szCs w:val="22"/>
        </w:rPr>
        <w:t>Każde państwo europejskie, które szanuje wartości, o których mowa w artykule 2, i zobowiązuje się je wspierać, może złożyć wniosek o członkostwo w Unii. O wniosku tym informuje się Parlament Europejski i parlamenty narodowe. Państwo ubiegające się o członkostwo kieruje swój wniosek do Rady, która stanowi jednomyślnie po zasięgnięciu opinii Komisji oraz po otrzymaniu zgody Parlamentu Europejskiego, udzielonej większością głosów jego członków. Brane są pod uwagę kryteria kwalifikacji uzgodnione przez Radę Europejską.</w:t>
      </w:r>
    </w:p>
    <w:p w14:paraId="1C9F56AE" w14:textId="77777777" w:rsidR="00F2187B" w:rsidRPr="00945770" w:rsidRDefault="00F2187B" w:rsidP="00945770">
      <w:pPr>
        <w:pStyle w:val="NormalnyWeb"/>
        <w:jc w:val="both"/>
        <w:rPr>
          <w:i/>
          <w:sz w:val="22"/>
          <w:szCs w:val="22"/>
        </w:rPr>
      </w:pPr>
      <w:r w:rsidRPr="00945770">
        <w:rPr>
          <w:i/>
          <w:sz w:val="22"/>
          <w:szCs w:val="22"/>
        </w:rPr>
        <w:t>Warunki przyjęcia i wynikające z tego przyjęcia dostosowania w Traktatach stanowiących podstawę Unii są przedmiotem umowy między Państwami Członkowskimi a Państwem ubiegającym się o członkostwo. Umowa ta podlega ratyfikacji przez wszystkie umawiające się Państwa, zgodnie z ich odpowiednimi wymogami konstytucyjnymi.</w:t>
      </w:r>
    </w:p>
    <w:p w14:paraId="281E813C" w14:textId="77777777" w:rsidR="00122A7A" w:rsidRDefault="00122A7A" w:rsidP="00945770">
      <w:pPr>
        <w:spacing w:line="240" w:lineRule="auto"/>
        <w:jc w:val="both"/>
        <w:rPr>
          <w:rFonts w:ascii="Times New Roman" w:hAnsi="Times New Roman" w:cs="Times New Roman"/>
          <w:b/>
        </w:rPr>
      </w:pPr>
    </w:p>
    <w:p w14:paraId="6FF013C5" w14:textId="77777777" w:rsidR="00122A7A" w:rsidRDefault="00122A7A" w:rsidP="00945770">
      <w:pPr>
        <w:spacing w:line="240" w:lineRule="auto"/>
        <w:jc w:val="both"/>
        <w:rPr>
          <w:rFonts w:ascii="Times New Roman" w:hAnsi="Times New Roman" w:cs="Times New Roman"/>
          <w:b/>
        </w:rPr>
      </w:pPr>
    </w:p>
    <w:p w14:paraId="27CD019E" w14:textId="35509850" w:rsidR="00F2187B" w:rsidRPr="00945770" w:rsidRDefault="00F2187B" w:rsidP="00945770">
      <w:pPr>
        <w:spacing w:line="240" w:lineRule="auto"/>
        <w:jc w:val="both"/>
        <w:rPr>
          <w:rStyle w:val="Uwydatnienie"/>
          <w:rFonts w:ascii="Times New Roman" w:hAnsi="Times New Roman" w:cs="Times New Roman"/>
          <w:b/>
          <w:i w:val="0"/>
          <w:iCs w:val="0"/>
        </w:rPr>
      </w:pPr>
      <w:r w:rsidRPr="00945770">
        <w:rPr>
          <w:rFonts w:ascii="Times New Roman" w:hAnsi="Times New Roman" w:cs="Times New Roman"/>
          <w:b/>
        </w:rPr>
        <w:lastRenderedPageBreak/>
        <w:t xml:space="preserve">Art. </w:t>
      </w:r>
      <w:r w:rsidR="00945770" w:rsidRPr="00945770">
        <w:rPr>
          <w:rFonts w:ascii="Times New Roman" w:hAnsi="Times New Roman" w:cs="Times New Roman"/>
          <w:b/>
        </w:rPr>
        <w:t>50</w:t>
      </w:r>
      <w:r w:rsidRPr="00945770">
        <w:rPr>
          <w:rFonts w:ascii="Times New Roman" w:hAnsi="Times New Roman" w:cs="Times New Roman"/>
          <w:b/>
        </w:rPr>
        <w:t xml:space="preserve"> TUE</w:t>
      </w:r>
    </w:p>
    <w:p w14:paraId="7EC3CAE8" w14:textId="77777777" w:rsidR="00F2187B" w:rsidRPr="00945770" w:rsidRDefault="00F2187B" w:rsidP="00945770">
      <w:pPr>
        <w:pStyle w:val="NormalnyWeb"/>
        <w:jc w:val="both"/>
        <w:rPr>
          <w:i/>
          <w:sz w:val="22"/>
          <w:szCs w:val="22"/>
        </w:rPr>
      </w:pPr>
      <w:r w:rsidRPr="00945770">
        <w:rPr>
          <w:i/>
          <w:sz w:val="22"/>
          <w:szCs w:val="22"/>
        </w:rPr>
        <w:t>1. Każde Państwo Członkowskie może, zgodnie ze swoimi wymogami konstytucyjnymi, podjąć decyzję o wystąpieniu z Unii.</w:t>
      </w:r>
    </w:p>
    <w:p w14:paraId="384C358C" w14:textId="77777777" w:rsidR="00F2187B" w:rsidRPr="00945770" w:rsidRDefault="00F2187B" w:rsidP="00945770">
      <w:pPr>
        <w:pStyle w:val="NormalnyWeb"/>
        <w:jc w:val="both"/>
        <w:rPr>
          <w:i/>
          <w:sz w:val="22"/>
          <w:szCs w:val="22"/>
        </w:rPr>
      </w:pPr>
      <w:r w:rsidRPr="00945770">
        <w:rPr>
          <w:i/>
          <w:sz w:val="22"/>
          <w:szCs w:val="22"/>
        </w:rPr>
        <w:t>2. Państwo Członkowskie, które podjęło decyzję o wystąpieniu, notyfikuje swój zamiar Radzie Europejskiej. W świetle wytycznych Rady Europejskiej Unia prowadzi negocjacje i zawiera z tym Państwem umowę określającą warunki jego wystąpienia, uwzględniając ramy jego przyszłych stosunków z Unią. Umowę tę negocjuje się zgodnie z artykułem 218 ustęp 3 Traktatu o funkcjonowaniu Unii Europejskiej. Jest ona zawierana w imieniu Unii przez Radę, stanowiącą większością kwalifikowaną po uzyskaniu zgody Parlamentu Europejskiego.</w:t>
      </w:r>
    </w:p>
    <w:p w14:paraId="5EAEFAB9" w14:textId="77777777" w:rsidR="00F2187B" w:rsidRPr="00945770" w:rsidRDefault="00F2187B" w:rsidP="00945770">
      <w:pPr>
        <w:pStyle w:val="NormalnyWeb"/>
        <w:jc w:val="both"/>
        <w:rPr>
          <w:i/>
          <w:sz w:val="22"/>
          <w:szCs w:val="22"/>
        </w:rPr>
      </w:pPr>
      <w:r w:rsidRPr="00945770">
        <w:rPr>
          <w:i/>
          <w:sz w:val="22"/>
          <w:szCs w:val="22"/>
        </w:rPr>
        <w:t>3. Traktaty przestają mieć zastosowanie do tego Państwa od dnia wejścia w życie umowy o wystąpieniu lub, w przypadku jej braku, dwa lata po notyfikacji, o której mowa w ustępie 2, chyba że Rada Europejska w porozumieniu z danym Państwem Członkowskim podejmie jednomyślnie decyzję o przedłużeniu tego okresu.</w:t>
      </w:r>
    </w:p>
    <w:p w14:paraId="79D57441" w14:textId="77777777" w:rsidR="00F2187B" w:rsidRPr="00945770" w:rsidRDefault="00F2187B" w:rsidP="00945770">
      <w:pPr>
        <w:pStyle w:val="NormalnyWeb"/>
        <w:jc w:val="both"/>
        <w:rPr>
          <w:i/>
          <w:sz w:val="22"/>
          <w:szCs w:val="22"/>
        </w:rPr>
      </w:pPr>
      <w:r w:rsidRPr="00945770">
        <w:rPr>
          <w:i/>
          <w:sz w:val="22"/>
          <w:szCs w:val="22"/>
        </w:rPr>
        <w:t>4. Do celów ustępów 2 i 3 członek Rady Europejskiej i Rady reprezentujący występujące Państwo Członkowskie nie bierze udziału w obradach ani w podejmowaniu decyzji Rady Europejskiej i Rady dotyczących tego Państwa.</w:t>
      </w:r>
    </w:p>
    <w:p w14:paraId="0CD9D4C8" w14:textId="77777777" w:rsidR="00F2187B" w:rsidRPr="00945770" w:rsidRDefault="00F2187B" w:rsidP="00945770">
      <w:pPr>
        <w:pStyle w:val="NormalnyWeb"/>
        <w:jc w:val="both"/>
        <w:rPr>
          <w:i/>
          <w:sz w:val="22"/>
          <w:szCs w:val="22"/>
        </w:rPr>
      </w:pPr>
      <w:r w:rsidRPr="00945770">
        <w:rPr>
          <w:i/>
          <w:sz w:val="22"/>
          <w:szCs w:val="22"/>
        </w:rPr>
        <w:t>Większość kwalifikowaną określa się zgodnie z artykułem 238 ustęp 3 litera b) Traktatu o funkcjonowaniu Unii Europejskiej.</w:t>
      </w:r>
    </w:p>
    <w:p w14:paraId="1BC4B72E" w14:textId="77777777" w:rsidR="00832CD1" w:rsidRDefault="00F2187B" w:rsidP="00832CD1">
      <w:pPr>
        <w:pStyle w:val="NormalnyWeb"/>
        <w:jc w:val="both"/>
        <w:rPr>
          <w:i/>
          <w:sz w:val="22"/>
          <w:szCs w:val="22"/>
        </w:rPr>
      </w:pPr>
      <w:r w:rsidRPr="00945770">
        <w:rPr>
          <w:i/>
          <w:sz w:val="22"/>
          <w:szCs w:val="22"/>
        </w:rPr>
        <w:t>5. Jeżeli Państwo, które wystąpiło z Unii, zwraca się o ponowne przyjęcie, jego wniosek podlega procedurze, o której mowa w artykule 49.</w:t>
      </w:r>
    </w:p>
    <w:p w14:paraId="64B40DDD" w14:textId="77777777" w:rsidR="00F2187B" w:rsidRPr="00832CD1" w:rsidRDefault="00945770" w:rsidP="00832CD1">
      <w:pPr>
        <w:pStyle w:val="NormalnyWeb"/>
        <w:jc w:val="both"/>
        <w:rPr>
          <w:i/>
          <w:sz w:val="22"/>
          <w:szCs w:val="22"/>
        </w:rPr>
      </w:pPr>
      <w:r w:rsidRPr="00945770">
        <w:rPr>
          <w:b/>
        </w:rPr>
        <w:t>Art. 51 TUE</w:t>
      </w:r>
    </w:p>
    <w:p w14:paraId="6A84D34A" w14:textId="77777777" w:rsidR="00F2187B" w:rsidRPr="00945770" w:rsidRDefault="00F2187B" w:rsidP="00945770">
      <w:pPr>
        <w:pStyle w:val="NormalnyWeb"/>
        <w:jc w:val="both"/>
        <w:rPr>
          <w:i/>
          <w:sz w:val="22"/>
          <w:szCs w:val="22"/>
        </w:rPr>
      </w:pPr>
      <w:r w:rsidRPr="00945770">
        <w:rPr>
          <w:i/>
          <w:sz w:val="22"/>
          <w:szCs w:val="22"/>
        </w:rPr>
        <w:t>Protokoły i załączniki załączone do Traktatów stanowią ich integralną część.</w:t>
      </w:r>
    </w:p>
    <w:p w14:paraId="04AAAF54" w14:textId="77777777" w:rsidR="00F2187B" w:rsidRPr="00945770" w:rsidRDefault="00F2187B" w:rsidP="00945770">
      <w:pPr>
        <w:spacing w:before="100" w:beforeAutospacing="1" w:after="100" w:afterAutospacing="1" w:line="240" w:lineRule="auto"/>
        <w:jc w:val="both"/>
        <w:rPr>
          <w:rFonts w:ascii="Times New Roman" w:eastAsia="Times New Roman" w:hAnsi="Times New Roman" w:cs="Times New Roman"/>
          <w:i/>
          <w:lang w:eastAsia="pl-PL"/>
        </w:rPr>
      </w:pPr>
    </w:p>
    <w:p w14:paraId="2314DD25" w14:textId="77777777" w:rsidR="006B0493" w:rsidRPr="00945770" w:rsidRDefault="006B0493" w:rsidP="00945770">
      <w:pPr>
        <w:spacing w:line="240" w:lineRule="auto"/>
        <w:jc w:val="both"/>
        <w:rPr>
          <w:rFonts w:ascii="Times New Roman" w:eastAsia="Times New Roman" w:hAnsi="Times New Roman" w:cs="Times New Roman"/>
          <w:i/>
          <w:lang w:eastAsia="pl-PL"/>
        </w:rPr>
      </w:pPr>
    </w:p>
    <w:p w14:paraId="72748DAF" w14:textId="77777777" w:rsidR="006B0493" w:rsidRPr="00945770" w:rsidRDefault="006B0493" w:rsidP="00945770">
      <w:pPr>
        <w:spacing w:line="240" w:lineRule="auto"/>
        <w:jc w:val="both"/>
        <w:rPr>
          <w:rFonts w:ascii="Times New Roman" w:eastAsia="Times New Roman" w:hAnsi="Times New Roman" w:cs="Times New Roman"/>
          <w:i/>
          <w:lang w:eastAsia="pl-PL"/>
        </w:rPr>
      </w:pPr>
    </w:p>
    <w:sectPr w:rsidR="006B0493" w:rsidRPr="00945770" w:rsidSect="00B543BC">
      <w:footerReference w:type="default" r:id="rId8"/>
      <w:pgSz w:w="11906" w:h="16838" w:code="9"/>
      <w:pgMar w:top="851" w:right="1417" w:bottom="993"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5FC660" w14:textId="77777777" w:rsidR="00B543BC" w:rsidRDefault="00B543BC" w:rsidP="00BF7E3E">
      <w:pPr>
        <w:spacing w:after="0" w:line="240" w:lineRule="auto"/>
      </w:pPr>
      <w:r>
        <w:separator/>
      </w:r>
    </w:p>
  </w:endnote>
  <w:endnote w:type="continuationSeparator" w:id="0">
    <w:p w14:paraId="41A98A71" w14:textId="77777777" w:rsidR="00B543BC" w:rsidRDefault="00B543BC" w:rsidP="00BF7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123989"/>
      <w:docPartObj>
        <w:docPartGallery w:val="Page Numbers (Bottom of Page)"/>
        <w:docPartUnique/>
      </w:docPartObj>
    </w:sdtPr>
    <w:sdtContent>
      <w:p w14:paraId="381FDD4F" w14:textId="77777777" w:rsidR="00BF7E3E" w:rsidRDefault="00BF7E3E">
        <w:pPr>
          <w:pStyle w:val="Stopka"/>
          <w:jc w:val="right"/>
        </w:pPr>
        <w:r>
          <w:fldChar w:fldCharType="begin"/>
        </w:r>
        <w:r>
          <w:instrText>PAGE   \* MERGEFORMAT</w:instrText>
        </w:r>
        <w:r>
          <w:fldChar w:fldCharType="separate"/>
        </w:r>
        <w:r w:rsidR="00832CD1">
          <w:rPr>
            <w:noProof/>
          </w:rPr>
          <w:t>13</w:t>
        </w:r>
        <w:r>
          <w:fldChar w:fldCharType="end"/>
        </w:r>
      </w:p>
    </w:sdtContent>
  </w:sdt>
  <w:p w14:paraId="3979F14C" w14:textId="77777777" w:rsidR="00BF7E3E" w:rsidRDefault="00BF7E3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EB998" w14:textId="77777777" w:rsidR="00B543BC" w:rsidRDefault="00B543BC" w:rsidP="00BF7E3E">
      <w:pPr>
        <w:spacing w:after="0" w:line="240" w:lineRule="auto"/>
      </w:pPr>
      <w:r>
        <w:separator/>
      </w:r>
    </w:p>
  </w:footnote>
  <w:footnote w:type="continuationSeparator" w:id="0">
    <w:p w14:paraId="34ED220F" w14:textId="77777777" w:rsidR="00B543BC" w:rsidRDefault="00B543BC" w:rsidP="00BF7E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3E06565"/>
    <w:multiLevelType w:val="hybridMultilevel"/>
    <w:tmpl w:val="E37CCE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5B1C0877"/>
    <w:multiLevelType w:val="hybridMultilevel"/>
    <w:tmpl w:val="91362A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7EEF5F3A"/>
    <w:multiLevelType w:val="hybridMultilevel"/>
    <w:tmpl w:val="EC68D5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475679370">
    <w:abstractNumId w:val="0"/>
  </w:num>
  <w:num w:numId="2" w16cid:durableId="1252088002">
    <w:abstractNumId w:val="1"/>
  </w:num>
  <w:num w:numId="3" w16cid:durableId="1349503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047F7"/>
    <w:rsid w:val="0000335D"/>
    <w:rsid w:val="000045B2"/>
    <w:rsid w:val="00007844"/>
    <w:rsid w:val="00016BE3"/>
    <w:rsid w:val="00016DF1"/>
    <w:rsid w:val="000176DE"/>
    <w:rsid w:val="000212C0"/>
    <w:rsid w:val="00024659"/>
    <w:rsid w:val="0002669A"/>
    <w:rsid w:val="00026DB1"/>
    <w:rsid w:val="00027B10"/>
    <w:rsid w:val="0003267E"/>
    <w:rsid w:val="00033234"/>
    <w:rsid w:val="00034841"/>
    <w:rsid w:val="00035916"/>
    <w:rsid w:val="00036A0B"/>
    <w:rsid w:val="00041FD8"/>
    <w:rsid w:val="00044F05"/>
    <w:rsid w:val="00045A21"/>
    <w:rsid w:val="00052201"/>
    <w:rsid w:val="00054501"/>
    <w:rsid w:val="00055531"/>
    <w:rsid w:val="00055A1D"/>
    <w:rsid w:val="00055DE7"/>
    <w:rsid w:val="00055EC6"/>
    <w:rsid w:val="00062A3E"/>
    <w:rsid w:val="000644BC"/>
    <w:rsid w:val="00067AF0"/>
    <w:rsid w:val="00075147"/>
    <w:rsid w:val="000752FE"/>
    <w:rsid w:val="00080285"/>
    <w:rsid w:val="00081FDD"/>
    <w:rsid w:val="000820CC"/>
    <w:rsid w:val="00083A85"/>
    <w:rsid w:val="000869C1"/>
    <w:rsid w:val="0008732D"/>
    <w:rsid w:val="00093248"/>
    <w:rsid w:val="000938BE"/>
    <w:rsid w:val="00096246"/>
    <w:rsid w:val="00096DA4"/>
    <w:rsid w:val="00097A96"/>
    <w:rsid w:val="000A21BC"/>
    <w:rsid w:val="000A2D1C"/>
    <w:rsid w:val="000A4791"/>
    <w:rsid w:val="000A4D8B"/>
    <w:rsid w:val="000A5C81"/>
    <w:rsid w:val="000A616C"/>
    <w:rsid w:val="000A6691"/>
    <w:rsid w:val="000A70B4"/>
    <w:rsid w:val="000A7942"/>
    <w:rsid w:val="000B1764"/>
    <w:rsid w:val="000B1F1D"/>
    <w:rsid w:val="000B20ED"/>
    <w:rsid w:val="000B2E06"/>
    <w:rsid w:val="000B51C9"/>
    <w:rsid w:val="000B7458"/>
    <w:rsid w:val="000C1534"/>
    <w:rsid w:val="000C1973"/>
    <w:rsid w:val="000C3162"/>
    <w:rsid w:val="000C5FAF"/>
    <w:rsid w:val="000D4283"/>
    <w:rsid w:val="000D69E8"/>
    <w:rsid w:val="000D6E15"/>
    <w:rsid w:val="000D783C"/>
    <w:rsid w:val="000E3857"/>
    <w:rsid w:val="000F4304"/>
    <w:rsid w:val="000F6D20"/>
    <w:rsid w:val="00100EE9"/>
    <w:rsid w:val="001038D5"/>
    <w:rsid w:val="00104B32"/>
    <w:rsid w:val="0010520F"/>
    <w:rsid w:val="00107E1E"/>
    <w:rsid w:val="00110A79"/>
    <w:rsid w:val="001127A5"/>
    <w:rsid w:val="001148C7"/>
    <w:rsid w:val="00120B5A"/>
    <w:rsid w:val="00122A7A"/>
    <w:rsid w:val="0012368E"/>
    <w:rsid w:val="001257F4"/>
    <w:rsid w:val="00125992"/>
    <w:rsid w:val="00125E03"/>
    <w:rsid w:val="00127EFD"/>
    <w:rsid w:val="00130B5D"/>
    <w:rsid w:val="00131FC0"/>
    <w:rsid w:val="001327B1"/>
    <w:rsid w:val="00133B9C"/>
    <w:rsid w:val="00133D8D"/>
    <w:rsid w:val="0013529D"/>
    <w:rsid w:val="00136C53"/>
    <w:rsid w:val="00136E85"/>
    <w:rsid w:val="00137FBB"/>
    <w:rsid w:val="001410F7"/>
    <w:rsid w:val="00144459"/>
    <w:rsid w:val="00145B22"/>
    <w:rsid w:val="001469D1"/>
    <w:rsid w:val="001509F6"/>
    <w:rsid w:val="001513CA"/>
    <w:rsid w:val="0015266C"/>
    <w:rsid w:val="001542C3"/>
    <w:rsid w:val="001562CF"/>
    <w:rsid w:val="00157CB8"/>
    <w:rsid w:val="00161AE3"/>
    <w:rsid w:val="0016260F"/>
    <w:rsid w:val="001631AA"/>
    <w:rsid w:val="0016458B"/>
    <w:rsid w:val="001656F2"/>
    <w:rsid w:val="0016606F"/>
    <w:rsid w:val="00171672"/>
    <w:rsid w:val="00171DA0"/>
    <w:rsid w:val="00172461"/>
    <w:rsid w:val="00172902"/>
    <w:rsid w:val="00175D2F"/>
    <w:rsid w:val="00181A38"/>
    <w:rsid w:val="00181D26"/>
    <w:rsid w:val="00183195"/>
    <w:rsid w:val="001839A5"/>
    <w:rsid w:val="00183B01"/>
    <w:rsid w:val="001867AD"/>
    <w:rsid w:val="00187B9D"/>
    <w:rsid w:val="001902DB"/>
    <w:rsid w:val="001939B4"/>
    <w:rsid w:val="00193F44"/>
    <w:rsid w:val="001A55EF"/>
    <w:rsid w:val="001A6D56"/>
    <w:rsid w:val="001B0A3E"/>
    <w:rsid w:val="001B2250"/>
    <w:rsid w:val="001B2588"/>
    <w:rsid w:val="001B27AE"/>
    <w:rsid w:val="001B2C97"/>
    <w:rsid w:val="001B345F"/>
    <w:rsid w:val="001B4A5B"/>
    <w:rsid w:val="001B4E7B"/>
    <w:rsid w:val="001C1291"/>
    <w:rsid w:val="001C2795"/>
    <w:rsid w:val="001C408C"/>
    <w:rsid w:val="001C6851"/>
    <w:rsid w:val="001D050D"/>
    <w:rsid w:val="001D3BF4"/>
    <w:rsid w:val="001D4135"/>
    <w:rsid w:val="001D4902"/>
    <w:rsid w:val="001D7FC8"/>
    <w:rsid w:val="001E120C"/>
    <w:rsid w:val="001E1EAD"/>
    <w:rsid w:val="001E36A6"/>
    <w:rsid w:val="001E3EBB"/>
    <w:rsid w:val="001E7E1A"/>
    <w:rsid w:val="00203325"/>
    <w:rsid w:val="00203458"/>
    <w:rsid w:val="0020460E"/>
    <w:rsid w:val="00204B1A"/>
    <w:rsid w:val="002052BE"/>
    <w:rsid w:val="0020549B"/>
    <w:rsid w:val="00205BBF"/>
    <w:rsid w:val="00205BD0"/>
    <w:rsid w:val="00205E99"/>
    <w:rsid w:val="002063FB"/>
    <w:rsid w:val="00210ABF"/>
    <w:rsid w:val="00213852"/>
    <w:rsid w:val="0021393D"/>
    <w:rsid w:val="00214657"/>
    <w:rsid w:val="0021581A"/>
    <w:rsid w:val="002172DE"/>
    <w:rsid w:val="00217657"/>
    <w:rsid w:val="00217CF2"/>
    <w:rsid w:val="00221E2B"/>
    <w:rsid w:val="00221F28"/>
    <w:rsid w:val="00227627"/>
    <w:rsid w:val="00227CA0"/>
    <w:rsid w:val="00227D32"/>
    <w:rsid w:val="002327EE"/>
    <w:rsid w:val="00233CA3"/>
    <w:rsid w:val="00234A01"/>
    <w:rsid w:val="00235728"/>
    <w:rsid w:val="00237B23"/>
    <w:rsid w:val="002412B4"/>
    <w:rsid w:val="00241582"/>
    <w:rsid w:val="00245738"/>
    <w:rsid w:val="0025056F"/>
    <w:rsid w:val="00250DCF"/>
    <w:rsid w:val="00250E31"/>
    <w:rsid w:val="002510CC"/>
    <w:rsid w:val="002515F1"/>
    <w:rsid w:val="00251F0F"/>
    <w:rsid w:val="0025279D"/>
    <w:rsid w:val="002545DA"/>
    <w:rsid w:val="002548CD"/>
    <w:rsid w:val="002576B7"/>
    <w:rsid w:val="00262F6E"/>
    <w:rsid w:val="002634DC"/>
    <w:rsid w:val="002650E8"/>
    <w:rsid w:val="00265C04"/>
    <w:rsid w:val="002661A0"/>
    <w:rsid w:val="0027192C"/>
    <w:rsid w:val="002742D7"/>
    <w:rsid w:val="002774E1"/>
    <w:rsid w:val="002779FF"/>
    <w:rsid w:val="00281D8F"/>
    <w:rsid w:val="00287F14"/>
    <w:rsid w:val="00290DF1"/>
    <w:rsid w:val="0029461C"/>
    <w:rsid w:val="002952B0"/>
    <w:rsid w:val="00296B1A"/>
    <w:rsid w:val="00297BF8"/>
    <w:rsid w:val="00297C50"/>
    <w:rsid w:val="002A3CD3"/>
    <w:rsid w:val="002A518C"/>
    <w:rsid w:val="002A55C5"/>
    <w:rsid w:val="002B0022"/>
    <w:rsid w:val="002B2839"/>
    <w:rsid w:val="002B4BC5"/>
    <w:rsid w:val="002B4EA1"/>
    <w:rsid w:val="002C0B3D"/>
    <w:rsid w:val="002C2BBE"/>
    <w:rsid w:val="002C4A7F"/>
    <w:rsid w:val="002C721B"/>
    <w:rsid w:val="002D1E2E"/>
    <w:rsid w:val="002D3594"/>
    <w:rsid w:val="002D3E85"/>
    <w:rsid w:val="002D42E5"/>
    <w:rsid w:val="002D54A9"/>
    <w:rsid w:val="002D5990"/>
    <w:rsid w:val="002D75E4"/>
    <w:rsid w:val="002E535E"/>
    <w:rsid w:val="002E76D6"/>
    <w:rsid w:val="002F052E"/>
    <w:rsid w:val="002F125A"/>
    <w:rsid w:val="002F283A"/>
    <w:rsid w:val="002F4BC3"/>
    <w:rsid w:val="003018C4"/>
    <w:rsid w:val="003020FE"/>
    <w:rsid w:val="00302EE6"/>
    <w:rsid w:val="00305969"/>
    <w:rsid w:val="00305E21"/>
    <w:rsid w:val="0030743C"/>
    <w:rsid w:val="0031576B"/>
    <w:rsid w:val="003203AC"/>
    <w:rsid w:val="00320786"/>
    <w:rsid w:val="00320A36"/>
    <w:rsid w:val="003220A2"/>
    <w:rsid w:val="00327B7D"/>
    <w:rsid w:val="003310AA"/>
    <w:rsid w:val="0033395B"/>
    <w:rsid w:val="003363A1"/>
    <w:rsid w:val="00336CB8"/>
    <w:rsid w:val="00337E91"/>
    <w:rsid w:val="003426F4"/>
    <w:rsid w:val="00343BC1"/>
    <w:rsid w:val="00355E4C"/>
    <w:rsid w:val="00362889"/>
    <w:rsid w:val="00364836"/>
    <w:rsid w:val="00364878"/>
    <w:rsid w:val="00367312"/>
    <w:rsid w:val="00374903"/>
    <w:rsid w:val="00374D9D"/>
    <w:rsid w:val="00374F79"/>
    <w:rsid w:val="00375263"/>
    <w:rsid w:val="00377C3E"/>
    <w:rsid w:val="003854A4"/>
    <w:rsid w:val="003869D8"/>
    <w:rsid w:val="003873CE"/>
    <w:rsid w:val="0038794D"/>
    <w:rsid w:val="00387AA3"/>
    <w:rsid w:val="003909FE"/>
    <w:rsid w:val="00390DB8"/>
    <w:rsid w:val="003A060D"/>
    <w:rsid w:val="003A169C"/>
    <w:rsid w:val="003A2536"/>
    <w:rsid w:val="003A3B4C"/>
    <w:rsid w:val="003A4E05"/>
    <w:rsid w:val="003A7263"/>
    <w:rsid w:val="003A7CA0"/>
    <w:rsid w:val="003B2772"/>
    <w:rsid w:val="003B2BFE"/>
    <w:rsid w:val="003B74EC"/>
    <w:rsid w:val="003B75F6"/>
    <w:rsid w:val="003C1600"/>
    <w:rsid w:val="003C1D7B"/>
    <w:rsid w:val="003C26D0"/>
    <w:rsid w:val="003C35ED"/>
    <w:rsid w:val="003C498A"/>
    <w:rsid w:val="003C7F30"/>
    <w:rsid w:val="003D1290"/>
    <w:rsid w:val="003D1AD8"/>
    <w:rsid w:val="003D2461"/>
    <w:rsid w:val="003D4683"/>
    <w:rsid w:val="003D5874"/>
    <w:rsid w:val="003D6E83"/>
    <w:rsid w:val="003E0E76"/>
    <w:rsid w:val="003E226C"/>
    <w:rsid w:val="003E3E39"/>
    <w:rsid w:val="003E4377"/>
    <w:rsid w:val="003E52B0"/>
    <w:rsid w:val="003E717E"/>
    <w:rsid w:val="003E7D52"/>
    <w:rsid w:val="003F0409"/>
    <w:rsid w:val="003F1CD8"/>
    <w:rsid w:val="003F370E"/>
    <w:rsid w:val="003F412E"/>
    <w:rsid w:val="003F760D"/>
    <w:rsid w:val="00400748"/>
    <w:rsid w:val="004070AD"/>
    <w:rsid w:val="0041120F"/>
    <w:rsid w:val="00415243"/>
    <w:rsid w:val="0041595A"/>
    <w:rsid w:val="004165CB"/>
    <w:rsid w:val="004218A7"/>
    <w:rsid w:val="00423F83"/>
    <w:rsid w:val="00427C39"/>
    <w:rsid w:val="00431D99"/>
    <w:rsid w:val="0043456C"/>
    <w:rsid w:val="004410C3"/>
    <w:rsid w:val="00442C1D"/>
    <w:rsid w:val="004440FC"/>
    <w:rsid w:val="00450AEC"/>
    <w:rsid w:val="00452B9F"/>
    <w:rsid w:val="0045390D"/>
    <w:rsid w:val="00454B86"/>
    <w:rsid w:val="00456167"/>
    <w:rsid w:val="004604FB"/>
    <w:rsid w:val="0046215C"/>
    <w:rsid w:val="0047127E"/>
    <w:rsid w:val="00472450"/>
    <w:rsid w:val="004724C6"/>
    <w:rsid w:val="00472CEF"/>
    <w:rsid w:val="00480DBB"/>
    <w:rsid w:val="0048374E"/>
    <w:rsid w:val="00492F6E"/>
    <w:rsid w:val="00493DC3"/>
    <w:rsid w:val="004940E1"/>
    <w:rsid w:val="004954B7"/>
    <w:rsid w:val="004972E4"/>
    <w:rsid w:val="004A03BE"/>
    <w:rsid w:val="004A21D9"/>
    <w:rsid w:val="004A34CD"/>
    <w:rsid w:val="004A4673"/>
    <w:rsid w:val="004A56A4"/>
    <w:rsid w:val="004B0055"/>
    <w:rsid w:val="004B063D"/>
    <w:rsid w:val="004B1837"/>
    <w:rsid w:val="004B1A1F"/>
    <w:rsid w:val="004B1D46"/>
    <w:rsid w:val="004B4544"/>
    <w:rsid w:val="004B54BD"/>
    <w:rsid w:val="004B6848"/>
    <w:rsid w:val="004B730B"/>
    <w:rsid w:val="004B7B6E"/>
    <w:rsid w:val="004C2712"/>
    <w:rsid w:val="004C5AFD"/>
    <w:rsid w:val="004D1E49"/>
    <w:rsid w:val="004D392A"/>
    <w:rsid w:val="004D5451"/>
    <w:rsid w:val="004E4C1F"/>
    <w:rsid w:val="004E4CD0"/>
    <w:rsid w:val="004E75A7"/>
    <w:rsid w:val="004F0AF0"/>
    <w:rsid w:val="004F2324"/>
    <w:rsid w:val="004F4F26"/>
    <w:rsid w:val="004F5A21"/>
    <w:rsid w:val="00504243"/>
    <w:rsid w:val="005145E2"/>
    <w:rsid w:val="00515371"/>
    <w:rsid w:val="00515E6D"/>
    <w:rsid w:val="00516667"/>
    <w:rsid w:val="00516B27"/>
    <w:rsid w:val="00522F9B"/>
    <w:rsid w:val="00527648"/>
    <w:rsid w:val="00527B4A"/>
    <w:rsid w:val="00532BBF"/>
    <w:rsid w:val="00536806"/>
    <w:rsid w:val="00541EB9"/>
    <w:rsid w:val="00542C30"/>
    <w:rsid w:val="00543831"/>
    <w:rsid w:val="00544D5A"/>
    <w:rsid w:val="00545A58"/>
    <w:rsid w:val="00545D63"/>
    <w:rsid w:val="00546710"/>
    <w:rsid w:val="00551A73"/>
    <w:rsid w:val="00552D5C"/>
    <w:rsid w:val="005531A3"/>
    <w:rsid w:val="005536D3"/>
    <w:rsid w:val="00553B29"/>
    <w:rsid w:val="005547C1"/>
    <w:rsid w:val="00554968"/>
    <w:rsid w:val="0055786A"/>
    <w:rsid w:val="00557A2D"/>
    <w:rsid w:val="0056060A"/>
    <w:rsid w:val="0056116A"/>
    <w:rsid w:val="005621EB"/>
    <w:rsid w:val="0056231F"/>
    <w:rsid w:val="00563039"/>
    <w:rsid w:val="00565AAC"/>
    <w:rsid w:val="00570D71"/>
    <w:rsid w:val="005735EF"/>
    <w:rsid w:val="0057440F"/>
    <w:rsid w:val="00574FC5"/>
    <w:rsid w:val="00580002"/>
    <w:rsid w:val="00581D28"/>
    <w:rsid w:val="00585534"/>
    <w:rsid w:val="005905AE"/>
    <w:rsid w:val="00590F82"/>
    <w:rsid w:val="00592593"/>
    <w:rsid w:val="00596FA0"/>
    <w:rsid w:val="00597C46"/>
    <w:rsid w:val="005A06E4"/>
    <w:rsid w:val="005A0D81"/>
    <w:rsid w:val="005A1121"/>
    <w:rsid w:val="005A20B6"/>
    <w:rsid w:val="005A276D"/>
    <w:rsid w:val="005A6915"/>
    <w:rsid w:val="005A696B"/>
    <w:rsid w:val="005A6AC5"/>
    <w:rsid w:val="005B2ECD"/>
    <w:rsid w:val="005B62BF"/>
    <w:rsid w:val="005C0CD0"/>
    <w:rsid w:val="005C634C"/>
    <w:rsid w:val="005C6935"/>
    <w:rsid w:val="005C7305"/>
    <w:rsid w:val="005D66DE"/>
    <w:rsid w:val="005D6C40"/>
    <w:rsid w:val="005D76A2"/>
    <w:rsid w:val="005E0EA4"/>
    <w:rsid w:val="005F0A0D"/>
    <w:rsid w:val="005F427B"/>
    <w:rsid w:val="005F5870"/>
    <w:rsid w:val="005F5B4A"/>
    <w:rsid w:val="005F7581"/>
    <w:rsid w:val="00600DA4"/>
    <w:rsid w:val="00601B4C"/>
    <w:rsid w:val="00601C28"/>
    <w:rsid w:val="00602359"/>
    <w:rsid w:val="0060289E"/>
    <w:rsid w:val="00602AB5"/>
    <w:rsid w:val="00603E9F"/>
    <w:rsid w:val="00613EAE"/>
    <w:rsid w:val="00615B31"/>
    <w:rsid w:val="0061778E"/>
    <w:rsid w:val="00617D8B"/>
    <w:rsid w:val="0062154B"/>
    <w:rsid w:val="00627F9F"/>
    <w:rsid w:val="0063042A"/>
    <w:rsid w:val="00630BD5"/>
    <w:rsid w:val="006326CD"/>
    <w:rsid w:val="006326CF"/>
    <w:rsid w:val="00633B9F"/>
    <w:rsid w:val="00635CB7"/>
    <w:rsid w:val="00642D3E"/>
    <w:rsid w:val="006441AB"/>
    <w:rsid w:val="00645F06"/>
    <w:rsid w:val="006609F2"/>
    <w:rsid w:val="00662AE8"/>
    <w:rsid w:val="00664D66"/>
    <w:rsid w:val="0066536A"/>
    <w:rsid w:val="00665CEC"/>
    <w:rsid w:val="00667B86"/>
    <w:rsid w:val="00671519"/>
    <w:rsid w:val="0067464A"/>
    <w:rsid w:val="00674D46"/>
    <w:rsid w:val="0067590E"/>
    <w:rsid w:val="00677E59"/>
    <w:rsid w:val="00680225"/>
    <w:rsid w:val="006810C2"/>
    <w:rsid w:val="006861F2"/>
    <w:rsid w:val="006866F8"/>
    <w:rsid w:val="00687CC4"/>
    <w:rsid w:val="0069025F"/>
    <w:rsid w:val="00690907"/>
    <w:rsid w:val="00690BDA"/>
    <w:rsid w:val="00691C83"/>
    <w:rsid w:val="00693CFF"/>
    <w:rsid w:val="00694739"/>
    <w:rsid w:val="0069488A"/>
    <w:rsid w:val="006978F3"/>
    <w:rsid w:val="00697F02"/>
    <w:rsid w:val="006A07F6"/>
    <w:rsid w:val="006A352B"/>
    <w:rsid w:val="006A583E"/>
    <w:rsid w:val="006A7828"/>
    <w:rsid w:val="006B0493"/>
    <w:rsid w:val="006B0F51"/>
    <w:rsid w:val="006B1D8B"/>
    <w:rsid w:val="006B3C85"/>
    <w:rsid w:val="006B6775"/>
    <w:rsid w:val="006C09C2"/>
    <w:rsid w:val="006C1BA9"/>
    <w:rsid w:val="006C1C14"/>
    <w:rsid w:val="006C45C5"/>
    <w:rsid w:val="006C6538"/>
    <w:rsid w:val="006D014A"/>
    <w:rsid w:val="006D4AD0"/>
    <w:rsid w:val="006D5726"/>
    <w:rsid w:val="006D66FC"/>
    <w:rsid w:val="006D7355"/>
    <w:rsid w:val="006D7C9F"/>
    <w:rsid w:val="006E02B4"/>
    <w:rsid w:val="006E1D49"/>
    <w:rsid w:val="006E2D23"/>
    <w:rsid w:val="006E30CB"/>
    <w:rsid w:val="006E3DC6"/>
    <w:rsid w:val="006E625A"/>
    <w:rsid w:val="006E7046"/>
    <w:rsid w:val="006E70F2"/>
    <w:rsid w:val="006F1DB1"/>
    <w:rsid w:val="006F2FDF"/>
    <w:rsid w:val="006F5B65"/>
    <w:rsid w:val="006F7459"/>
    <w:rsid w:val="006F7DE3"/>
    <w:rsid w:val="007008F5"/>
    <w:rsid w:val="00701540"/>
    <w:rsid w:val="00702229"/>
    <w:rsid w:val="007038EA"/>
    <w:rsid w:val="00703BED"/>
    <w:rsid w:val="007049A2"/>
    <w:rsid w:val="007055E8"/>
    <w:rsid w:val="007063FD"/>
    <w:rsid w:val="00706AA5"/>
    <w:rsid w:val="007078A6"/>
    <w:rsid w:val="00707D78"/>
    <w:rsid w:val="007116CF"/>
    <w:rsid w:val="00715141"/>
    <w:rsid w:val="0071577B"/>
    <w:rsid w:val="0071777B"/>
    <w:rsid w:val="00720C76"/>
    <w:rsid w:val="0072283E"/>
    <w:rsid w:val="00722922"/>
    <w:rsid w:val="007260C1"/>
    <w:rsid w:val="00727CED"/>
    <w:rsid w:val="00731CA6"/>
    <w:rsid w:val="007405CE"/>
    <w:rsid w:val="00740800"/>
    <w:rsid w:val="00740EA8"/>
    <w:rsid w:val="0074184F"/>
    <w:rsid w:val="00741A68"/>
    <w:rsid w:val="00743123"/>
    <w:rsid w:val="00743BCE"/>
    <w:rsid w:val="007503C8"/>
    <w:rsid w:val="00751821"/>
    <w:rsid w:val="007535F0"/>
    <w:rsid w:val="007538B0"/>
    <w:rsid w:val="0075407C"/>
    <w:rsid w:val="00755DE6"/>
    <w:rsid w:val="0075716A"/>
    <w:rsid w:val="0075778A"/>
    <w:rsid w:val="00760237"/>
    <w:rsid w:val="0076169C"/>
    <w:rsid w:val="00761AC7"/>
    <w:rsid w:val="007632F9"/>
    <w:rsid w:val="0076330E"/>
    <w:rsid w:val="00763B60"/>
    <w:rsid w:val="00764E5D"/>
    <w:rsid w:val="00765426"/>
    <w:rsid w:val="00765C86"/>
    <w:rsid w:val="00767A43"/>
    <w:rsid w:val="00771119"/>
    <w:rsid w:val="00775399"/>
    <w:rsid w:val="0078007C"/>
    <w:rsid w:val="0078061D"/>
    <w:rsid w:val="0078198C"/>
    <w:rsid w:val="00783869"/>
    <w:rsid w:val="00783ADC"/>
    <w:rsid w:val="00786CFC"/>
    <w:rsid w:val="00790185"/>
    <w:rsid w:val="0079088D"/>
    <w:rsid w:val="00791412"/>
    <w:rsid w:val="007916BE"/>
    <w:rsid w:val="00792922"/>
    <w:rsid w:val="00794E6D"/>
    <w:rsid w:val="007A04DC"/>
    <w:rsid w:val="007A13FB"/>
    <w:rsid w:val="007A3FAF"/>
    <w:rsid w:val="007A4607"/>
    <w:rsid w:val="007A481F"/>
    <w:rsid w:val="007A48C9"/>
    <w:rsid w:val="007A525A"/>
    <w:rsid w:val="007A6E30"/>
    <w:rsid w:val="007B2B7F"/>
    <w:rsid w:val="007B33D0"/>
    <w:rsid w:val="007B3B5E"/>
    <w:rsid w:val="007B48CB"/>
    <w:rsid w:val="007B5CE4"/>
    <w:rsid w:val="007B784F"/>
    <w:rsid w:val="007C150E"/>
    <w:rsid w:val="007C1ABC"/>
    <w:rsid w:val="007C545D"/>
    <w:rsid w:val="007C5713"/>
    <w:rsid w:val="007D2A84"/>
    <w:rsid w:val="007D4596"/>
    <w:rsid w:val="007D5340"/>
    <w:rsid w:val="007D72FD"/>
    <w:rsid w:val="007E202E"/>
    <w:rsid w:val="007E211D"/>
    <w:rsid w:val="007E2F20"/>
    <w:rsid w:val="007E3CF6"/>
    <w:rsid w:val="007E5E8A"/>
    <w:rsid w:val="007E72F8"/>
    <w:rsid w:val="007F00B9"/>
    <w:rsid w:val="007F29BE"/>
    <w:rsid w:val="007F2CBE"/>
    <w:rsid w:val="007F58D1"/>
    <w:rsid w:val="007F5923"/>
    <w:rsid w:val="007F7288"/>
    <w:rsid w:val="00800732"/>
    <w:rsid w:val="0080074B"/>
    <w:rsid w:val="00801771"/>
    <w:rsid w:val="008027DE"/>
    <w:rsid w:val="008030EE"/>
    <w:rsid w:val="0080400B"/>
    <w:rsid w:val="00806381"/>
    <w:rsid w:val="00810F2B"/>
    <w:rsid w:val="00817368"/>
    <w:rsid w:val="00817D62"/>
    <w:rsid w:val="00823A50"/>
    <w:rsid w:val="00823D33"/>
    <w:rsid w:val="00823F8E"/>
    <w:rsid w:val="00824421"/>
    <w:rsid w:val="008252E2"/>
    <w:rsid w:val="0082594E"/>
    <w:rsid w:val="00825A6C"/>
    <w:rsid w:val="00826DDA"/>
    <w:rsid w:val="00832AD1"/>
    <w:rsid w:val="00832B5E"/>
    <w:rsid w:val="00832CD1"/>
    <w:rsid w:val="008332B3"/>
    <w:rsid w:val="008349B5"/>
    <w:rsid w:val="00837D14"/>
    <w:rsid w:val="00844E1E"/>
    <w:rsid w:val="00854F7E"/>
    <w:rsid w:val="00855CC1"/>
    <w:rsid w:val="00856E12"/>
    <w:rsid w:val="00857365"/>
    <w:rsid w:val="00862922"/>
    <w:rsid w:val="00862FE4"/>
    <w:rsid w:val="00864608"/>
    <w:rsid w:val="008656D2"/>
    <w:rsid w:val="00865EF4"/>
    <w:rsid w:val="00870DA6"/>
    <w:rsid w:val="00872378"/>
    <w:rsid w:val="0087518F"/>
    <w:rsid w:val="0087572E"/>
    <w:rsid w:val="00875A6D"/>
    <w:rsid w:val="00875B94"/>
    <w:rsid w:val="008767A8"/>
    <w:rsid w:val="008773FC"/>
    <w:rsid w:val="00880B26"/>
    <w:rsid w:val="008819A3"/>
    <w:rsid w:val="0088434D"/>
    <w:rsid w:val="008843D3"/>
    <w:rsid w:val="00885C3B"/>
    <w:rsid w:val="00886FF6"/>
    <w:rsid w:val="0089151C"/>
    <w:rsid w:val="008921EE"/>
    <w:rsid w:val="00895057"/>
    <w:rsid w:val="0089558F"/>
    <w:rsid w:val="00897405"/>
    <w:rsid w:val="00897AF8"/>
    <w:rsid w:val="008A1474"/>
    <w:rsid w:val="008A1A6D"/>
    <w:rsid w:val="008A3A4D"/>
    <w:rsid w:val="008A42E4"/>
    <w:rsid w:val="008A59B9"/>
    <w:rsid w:val="008A5E72"/>
    <w:rsid w:val="008A705E"/>
    <w:rsid w:val="008A78B8"/>
    <w:rsid w:val="008B25F7"/>
    <w:rsid w:val="008B26D7"/>
    <w:rsid w:val="008C2180"/>
    <w:rsid w:val="008C2BC0"/>
    <w:rsid w:val="008C34C4"/>
    <w:rsid w:val="008C7EFB"/>
    <w:rsid w:val="008D11C0"/>
    <w:rsid w:val="008D15D7"/>
    <w:rsid w:val="008D24E8"/>
    <w:rsid w:val="008D24F3"/>
    <w:rsid w:val="008D4C7F"/>
    <w:rsid w:val="008D5886"/>
    <w:rsid w:val="008D7AC1"/>
    <w:rsid w:val="008E0FD0"/>
    <w:rsid w:val="008E229E"/>
    <w:rsid w:val="008E40EF"/>
    <w:rsid w:val="008E56D8"/>
    <w:rsid w:val="008F17D5"/>
    <w:rsid w:val="008F2E35"/>
    <w:rsid w:val="008F3138"/>
    <w:rsid w:val="008F37D5"/>
    <w:rsid w:val="008F399D"/>
    <w:rsid w:val="008F46DC"/>
    <w:rsid w:val="008F4B41"/>
    <w:rsid w:val="008F4D37"/>
    <w:rsid w:val="008F6F82"/>
    <w:rsid w:val="008F7FED"/>
    <w:rsid w:val="00901533"/>
    <w:rsid w:val="009016FD"/>
    <w:rsid w:val="009035B7"/>
    <w:rsid w:val="009049A1"/>
    <w:rsid w:val="009055BB"/>
    <w:rsid w:val="009060FC"/>
    <w:rsid w:val="009105A0"/>
    <w:rsid w:val="00912FAF"/>
    <w:rsid w:val="00916598"/>
    <w:rsid w:val="00917D74"/>
    <w:rsid w:val="0092385F"/>
    <w:rsid w:val="00925795"/>
    <w:rsid w:val="00926093"/>
    <w:rsid w:val="0093119E"/>
    <w:rsid w:val="00935E28"/>
    <w:rsid w:val="00936ED6"/>
    <w:rsid w:val="0094132F"/>
    <w:rsid w:val="00942023"/>
    <w:rsid w:val="0094214C"/>
    <w:rsid w:val="00944E7E"/>
    <w:rsid w:val="00945770"/>
    <w:rsid w:val="00947A15"/>
    <w:rsid w:val="00950F53"/>
    <w:rsid w:val="00950FC6"/>
    <w:rsid w:val="00954F94"/>
    <w:rsid w:val="00960013"/>
    <w:rsid w:val="00960D4A"/>
    <w:rsid w:val="00961B1C"/>
    <w:rsid w:val="00966B4E"/>
    <w:rsid w:val="0097033C"/>
    <w:rsid w:val="00973D96"/>
    <w:rsid w:val="00980104"/>
    <w:rsid w:val="00981321"/>
    <w:rsid w:val="00982325"/>
    <w:rsid w:val="0098302C"/>
    <w:rsid w:val="00986833"/>
    <w:rsid w:val="00991CFE"/>
    <w:rsid w:val="00992207"/>
    <w:rsid w:val="00993679"/>
    <w:rsid w:val="00994FE1"/>
    <w:rsid w:val="00996993"/>
    <w:rsid w:val="00996A29"/>
    <w:rsid w:val="009971D0"/>
    <w:rsid w:val="009A3FD6"/>
    <w:rsid w:val="009A5B32"/>
    <w:rsid w:val="009B1F39"/>
    <w:rsid w:val="009B1FAC"/>
    <w:rsid w:val="009B30E6"/>
    <w:rsid w:val="009B7E48"/>
    <w:rsid w:val="009C2973"/>
    <w:rsid w:val="009C3F46"/>
    <w:rsid w:val="009C45CB"/>
    <w:rsid w:val="009D0DE7"/>
    <w:rsid w:val="009D432D"/>
    <w:rsid w:val="009E1C5B"/>
    <w:rsid w:val="009E1F71"/>
    <w:rsid w:val="009E2EAC"/>
    <w:rsid w:val="009E3430"/>
    <w:rsid w:val="009E3D8E"/>
    <w:rsid w:val="009E4198"/>
    <w:rsid w:val="009E5472"/>
    <w:rsid w:val="009F03D6"/>
    <w:rsid w:val="009F0682"/>
    <w:rsid w:val="009F3679"/>
    <w:rsid w:val="009F3D9A"/>
    <w:rsid w:val="009F433C"/>
    <w:rsid w:val="009F56E3"/>
    <w:rsid w:val="009F5E46"/>
    <w:rsid w:val="009F7285"/>
    <w:rsid w:val="009F73FB"/>
    <w:rsid w:val="009F7EF0"/>
    <w:rsid w:val="00A027C6"/>
    <w:rsid w:val="00A033BD"/>
    <w:rsid w:val="00A033C8"/>
    <w:rsid w:val="00A15D2C"/>
    <w:rsid w:val="00A16629"/>
    <w:rsid w:val="00A201A8"/>
    <w:rsid w:val="00A225C2"/>
    <w:rsid w:val="00A2374D"/>
    <w:rsid w:val="00A2511A"/>
    <w:rsid w:val="00A25C8C"/>
    <w:rsid w:val="00A3173A"/>
    <w:rsid w:val="00A341E9"/>
    <w:rsid w:val="00A342BF"/>
    <w:rsid w:val="00A342E0"/>
    <w:rsid w:val="00A345FC"/>
    <w:rsid w:val="00A3565D"/>
    <w:rsid w:val="00A37F1C"/>
    <w:rsid w:val="00A4216C"/>
    <w:rsid w:val="00A43B8B"/>
    <w:rsid w:val="00A4557B"/>
    <w:rsid w:val="00A53395"/>
    <w:rsid w:val="00A565D1"/>
    <w:rsid w:val="00A566EE"/>
    <w:rsid w:val="00A56FE3"/>
    <w:rsid w:val="00A60111"/>
    <w:rsid w:val="00A62064"/>
    <w:rsid w:val="00A643C8"/>
    <w:rsid w:val="00A6550C"/>
    <w:rsid w:val="00A6735C"/>
    <w:rsid w:val="00A67EC8"/>
    <w:rsid w:val="00A7104C"/>
    <w:rsid w:val="00A711DA"/>
    <w:rsid w:val="00A7176C"/>
    <w:rsid w:val="00A71961"/>
    <w:rsid w:val="00A719F3"/>
    <w:rsid w:val="00A72E6A"/>
    <w:rsid w:val="00A74856"/>
    <w:rsid w:val="00A80726"/>
    <w:rsid w:val="00A8371E"/>
    <w:rsid w:val="00A849D6"/>
    <w:rsid w:val="00A84F24"/>
    <w:rsid w:val="00A8745F"/>
    <w:rsid w:val="00A90427"/>
    <w:rsid w:val="00A90D50"/>
    <w:rsid w:val="00A91443"/>
    <w:rsid w:val="00A92605"/>
    <w:rsid w:val="00A9267A"/>
    <w:rsid w:val="00A9310D"/>
    <w:rsid w:val="00A9728E"/>
    <w:rsid w:val="00AA1426"/>
    <w:rsid w:val="00AA477F"/>
    <w:rsid w:val="00AA7C1F"/>
    <w:rsid w:val="00AB024D"/>
    <w:rsid w:val="00AB081A"/>
    <w:rsid w:val="00AB0AC1"/>
    <w:rsid w:val="00AB2BAE"/>
    <w:rsid w:val="00AB63CF"/>
    <w:rsid w:val="00AB776B"/>
    <w:rsid w:val="00AC02D5"/>
    <w:rsid w:val="00AC20FE"/>
    <w:rsid w:val="00AC37C3"/>
    <w:rsid w:val="00AC3853"/>
    <w:rsid w:val="00AC5B74"/>
    <w:rsid w:val="00AD3A17"/>
    <w:rsid w:val="00AD7217"/>
    <w:rsid w:val="00AE01D6"/>
    <w:rsid w:val="00AE1AFE"/>
    <w:rsid w:val="00AE3EC6"/>
    <w:rsid w:val="00AE441F"/>
    <w:rsid w:val="00AE5E4A"/>
    <w:rsid w:val="00AF1BC7"/>
    <w:rsid w:val="00AF202C"/>
    <w:rsid w:val="00AF4B8D"/>
    <w:rsid w:val="00B0145E"/>
    <w:rsid w:val="00B01FF9"/>
    <w:rsid w:val="00B02822"/>
    <w:rsid w:val="00B02D2F"/>
    <w:rsid w:val="00B035D8"/>
    <w:rsid w:val="00B0385C"/>
    <w:rsid w:val="00B03C5E"/>
    <w:rsid w:val="00B047F7"/>
    <w:rsid w:val="00B05D35"/>
    <w:rsid w:val="00B07FB5"/>
    <w:rsid w:val="00B130BC"/>
    <w:rsid w:val="00B176F6"/>
    <w:rsid w:val="00B17C86"/>
    <w:rsid w:val="00B20AF1"/>
    <w:rsid w:val="00B22091"/>
    <w:rsid w:val="00B23BA1"/>
    <w:rsid w:val="00B25F0D"/>
    <w:rsid w:val="00B27726"/>
    <w:rsid w:val="00B31B0C"/>
    <w:rsid w:val="00B31E03"/>
    <w:rsid w:val="00B32746"/>
    <w:rsid w:val="00B33682"/>
    <w:rsid w:val="00B33791"/>
    <w:rsid w:val="00B34804"/>
    <w:rsid w:val="00B370EE"/>
    <w:rsid w:val="00B371D5"/>
    <w:rsid w:val="00B43888"/>
    <w:rsid w:val="00B43933"/>
    <w:rsid w:val="00B43FCA"/>
    <w:rsid w:val="00B456B1"/>
    <w:rsid w:val="00B47810"/>
    <w:rsid w:val="00B504DD"/>
    <w:rsid w:val="00B525A9"/>
    <w:rsid w:val="00B53161"/>
    <w:rsid w:val="00B543BC"/>
    <w:rsid w:val="00B55483"/>
    <w:rsid w:val="00B5564E"/>
    <w:rsid w:val="00B57C05"/>
    <w:rsid w:val="00B61099"/>
    <w:rsid w:val="00B63A55"/>
    <w:rsid w:val="00B6550F"/>
    <w:rsid w:val="00B65CDD"/>
    <w:rsid w:val="00B70CCA"/>
    <w:rsid w:val="00B7451C"/>
    <w:rsid w:val="00B7514E"/>
    <w:rsid w:val="00B81264"/>
    <w:rsid w:val="00B83A85"/>
    <w:rsid w:val="00B83BD7"/>
    <w:rsid w:val="00B8401F"/>
    <w:rsid w:val="00B84748"/>
    <w:rsid w:val="00B84768"/>
    <w:rsid w:val="00B90AFE"/>
    <w:rsid w:val="00B918E3"/>
    <w:rsid w:val="00B92484"/>
    <w:rsid w:val="00B926BE"/>
    <w:rsid w:val="00B92BCC"/>
    <w:rsid w:val="00B93043"/>
    <w:rsid w:val="00B96424"/>
    <w:rsid w:val="00B96D78"/>
    <w:rsid w:val="00B9777F"/>
    <w:rsid w:val="00B97862"/>
    <w:rsid w:val="00BA09D3"/>
    <w:rsid w:val="00BA1DD1"/>
    <w:rsid w:val="00BA243F"/>
    <w:rsid w:val="00BA2EF7"/>
    <w:rsid w:val="00BA3398"/>
    <w:rsid w:val="00BA3534"/>
    <w:rsid w:val="00BA46A8"/>
    <w:rsid w:val="00BA6289"/>
    <w:rsid w:val="00BA64EF"/>
    <w:rsid w:val="00BA7FA8"/>
    <w:rsid w:val="00BB2CE6"/>
    <w:rsid w:val="00BB35A9"/>
    <w:rsid w:val="00BB5FC8"/>
    <w:rsid w:val="00BC10A8"/>
    <w:rsid w:val="00BC10FB"/>
    <w:rsid w:val="00BC6A5B"/>
    <w:rsid w:val="00BC738F"/>
    <w:rsid w:val="00BD0716"/>
    <w:rsid w:val="00BD15A9"/>
    <w:rsid w:val="00BD1EE1"/>
    <w:rsid w:val="00BD2595"/>
    <w:rsid w:val="00BD265F"/>
    <w:rsid w:val="00BD3331"/>
    <w:rsid w:val="00BD33DF"/>
    <w:rsid w:val="00BD418B"/>
    <w:rsid w:val="00BD483C"/>
    <w:rsid w:val="00BD766C"/>
    <w:rsid w:val="00BE1E49"/>
    <w:rsid w:val="00BE2D78"/>
    <w:rsid w:val="00BE454D"/>
    <w:rsid w:val="00BE48F5"/>
    <w:rsid w:val="00BE5741"/>
    <w:rsid w:val="00BE6CB2"/>
    <w:rsid w:val="00BE71BE"/>
    <w:rsid w:val="00BF3FC3"/>
    <w:rsid w:val="00BF64BF"/>
    <w:rsid w:val="00BF66D7"/>
    <w:rsid w:val="00BF6A17"/>
    <w:rsid w:val="00BF7290"/>
    <w:rsid w:val="00BF7E3E"/>
    <w:rsid w:val="00C02AC8"/>
    <w:rsid w:val="00C03A3C"/>
    <w:rsid w:val="00C07601"/>
    <w:rsid w:val="00C145B1"/>
    <w:rsid w:val="00C14FE2"/>
    <w:rsid w:val="00C1556A"/>
    <w:rsid w:val="00C15CC4"/>
    <w:rsid w:val="00C16567"/>
    <w:rsid w:val="00C173AB"/>
    <w:rsid w:val="00C21361"/>
    <w:rsid w:val="00C21F59"/>
    <w:rsid w:val="00C229C5"/>
    <w:rsid w:val="00C2317F"/>
    <w:rsid w:val="00C259EC"/>
    <w:rsid w:val="00C26277"/>
    <w:rsid w:val="00C310B4"/>
    <w:rsid w:val="00C320AC"/>
    <w:rsid w:val="00C324E7"/>
    <w:rsid w:val="00C32C0B"/>
    <w:rsid w:val="00C40BB9"/>
    <w:rsid w:val="00C43AF1"/>
    <w:rsid w:val="00C43FEA"/>
    <w:rsid w:val="00C51B28"/>
    <w:rsid w:val="00C55965"/>
    <w:rsid w:val="00C55F73"/>
    <w:rsid w:val="00C60852"/>
    <w:rsid w:val="00C60F81"/>
    <w:rsid w:val="00C6122E"/>
    <w:rsid w:val="00C72E04"/>
    <w:rsid w:val="00C73966"/>
    <w:rsid w:val="00C74268"/>
    <w:rsid w:val="00C74B76"/>
    <w:rsid w:val="00C757B3"/>
    <w:rsid w:val="00C75EF1"/>
    <w:rsid w:val="00C76E9F"/>
    <w:rsid w:val="00C800BD"/>
    <w:rsid w:val="00C829D8"/>
    <w:rsid w:val="00C84498"/>
    <w:rsid w:val="00C95644"/>
    <w:rsid w:val="00C96F11"/>
    <w:rsid w:val="00C97CD0"/>
    <w:rsid w:val="00CA1141"/>
    <w:rsid w:val="00CA2560"/>
    <w:rsid w:val="00CA3BFE"/>
    <w:rsid w:val="00CB0AA6"/>
    <w:rsid w:val="00CB17A6"/>
    <w:rsid w:val="00CB2475"/>
    <w:rsid w:val="00CB38EB"/>
    <w:rsid w:val="00CB41D7"/>
    <w:rsid w:val="00CB6E4D"/>
    <w:rsid w:val="00CC351B"/>
    <w:rsid w:val="00CC38E4"/>
    <w:rsid w:val="00CC71DD"/>
    <w:rsid w:val="00CD0566"/>
    <w:rsid w:val="00CD22D8"/>
    <w:rsid w:val="00CD2CAF"/>
    <w:rsid w:val="00CD2FCB"/>
    <w:rsid w:val="00CD3299"/>
    <w:rsid w:val="00CD4FDB"/>
    <w:rsid w:val="00CD5C31"/>
    <w:rsid w:val="00CD60FC"/>
    <w:rsid w:val="00CD77D6"/>
    <w:rsid w:val="00CD7973"/>
    <w:rsid w:val="00CE1466"/>
    <w:rsid w:val="00CE1999"/>
    <w:rsid w:val="00CE5A0C"/>
    <w:rsid w:val="00CE5CF5"/>
    <w:rsid w:val="00CE6044"/>
    <w:rsid w:val="00CF3ECE"/>
    <w:rsid w:val="00CF43F8"/>
    <w:rsid w:val="00CF651C"/>
    <w:rsid w:val="00CF71A7"/>
    <w:rsid w:val="00D00D2F"/>
    <w:rsid w:val="00D050CF"/>
    <w:rsid w:val="00D05866"/>
    <w:rsid w:val="00D13FDA"/>
    <w:rsid w:val="00D1460B"/>
    <w:rsid w:val="00D15EAD"/>
    <w:rsid w:val="00D2123C"/>
    <w:rsid w:val="00D2262C"/>
    <w:rsid w:val="00D25241"/>
    <w:rsid w:val="00D33CFD"/>
    <w:rsid w:val="00D33D66"/>
    <w:rsid w:val="00D34698"/>
    <w:rsid w:val="00D3669B"/>
    <w:rsid w:val="00D42AC6"/>
    <w:rsid w:val="00D437F3"/>
    <w:rsid w:val="00D50E1A"/>
    <w:rsid w:val="00D54DD4"/>
    <w:rsid w:val="00D600CE"/>
    <w:rsid w:val="00D60FC9"/>
    <w:rsid w:val="00D61AAE"/>
    <w:rsid w:val="00D6379B"/>
    <w:rsid w:val="00D6412B"/>
    <w:rsid w:val="00D641AE"/>
    <w:rsid w:val="00D6793F"/>
    <w:rsid w:val="00D722DC"/>
    <w:rsid w:val="00D7233D"/>
    <w:rsid w:val="00D72D26"/>
    <w:rsid w:val="00D73C9D"/>
    <w:rsid w:val="00D73FF6"/>
    <w:rsid w:val="00D75098"/>
    <w:rsid w:val="00D7597D"/>
    <w:rsid w:val="00D75B4E"/>
    <w:rsid w:val="00D76730"/>
    <w:rsid w:val="00D814ED"/>
    <w:rsid w:val="00D8180C"/>
    <w:rsid w:val="00D821F4"/>
    <w:rsid w:val="00D82447"/>
    <w:rsid w:val="00D830D6"/>
    <w:rsid w:val="00D834E2"/>
    <w:rsid w:val="00D84052"/>
    <w:rsid w:val="00D8623E"/>
    <w:rsid w:val="00D9303C"/>
    <w:rsid w:val="00D938F3"/>
    <w:rsid w:val="00DA21B5"/>
    <w:rsid w:val="00DA22F5"/>
    <w:rsid w:val="00DA3307"/>
    <w:rsid w:val="00DA4F99"/>
    <w:rsid w:val="00DA612C"/>
    <w:rsid w:val="00DA68FA"/>
    <w:rsid w:val="00DB0BAA"/>
    <w:rsid w:val="00DB19D1"/>
    <w:rsid w:val="00DB2254"/>
    <w:rsid w:val="00DB4323"/>
    <w:rsid w:val="00DB735D"/>
    <w:rsid w:val="00DC032D"/>
    <w:rsid w:val="00DC42D6"/>
    <w:rsid w:val="00DC5A4B"/>
    <w:rsid w:val="00DC7246"/>
    <w:rsid w:val="00DD1EB0"/>
    <w:rsid w:val="00DD2521"/>
    <w:rsid w:val="00DD36E5"/>
    <w:rsid w:val="00DD40FA"/>
    <w:rsid w:val="00DD5B0B"/>
    <w:rsid w:val="00DD69BB"/>
    <w:rsid w:val="00DD6ACF"/>
    <w:rsid w:val="00DE4DE9"/>
    <w:rsid w:val="00DE51B4"/>
    <w:rsid w:val="00DE7859"/>
    <w:rsid w:val="00DF0651"/>
    <w:rsid w:val="00DF2E53"/>
    <w:rsid w:val="00DF41DB"/>
    <w:rsid w:val="00DF65A2"/>
    <w:rsid w:val="00E0020F"/>
    <w:rsid w:val="00E00BFC"/>
    <w:rsid w:val="00E01300"/>
    <w:rsid w:val="00E0190F"/>
    <w:rsid w:val="00E01D7E"/>
    <w:rsid w:val="00E01F4B"/>
    <w:rsid w:val="00E07DB1"/>
    <w:rsid w:val="00E106CC"/>
    <w:rsid w:val="00E168C6"/>
    <w:rsid w:val="00E168E3"/>
    <w:rsid w:val="00E17C88"/>
    <w:rsid w:val="00E210AC"/>
    <w:rsid w:val="00E229D6"/>
    <w:rsid w:val="00E23884"/>
    <w:rsid w:val="00E25321"/>
    <w:rsid w:val="00E258A9"/>
    <w:rsid w:val="00E27ACC"/>
    <w:rsid w:val="00E32C19"/>
    <w:rsid w:val="00E34D0E"/>
    <w:rsid w:val="00E34EB0"/>
    <w:rsid w:val="00E3706C"/>
    <w:rsid w:val="00E46779"/>
    <w:rsid w:val="00E52F5C"/>
    <w:rsid w:val="00E54DD4"/>
    <w:rsid w:val="00E55DD6"/>
    <w:rsid w:val="00E62442"/>
    <w:rsid w:val="00E6306F"/>
    <w:rsid w:val="00E63B7D"/>
    <w:rsid w:val="00E6575D"/>
    <w:rsid w:val="00E6743D"/>
    <w:rsid w:val="00E71E14"/>
    <w:rsid w:val="00E7212E"/>
    <w:rsid w:val="00E73A30"/>
    <w:rsid w:val="00E751B2"/>
    <w:rsid w:val="00E825D5"/>
    <w:rsid w:val="00E83822"/>
    <w:rsid w:val="00E90E33"/>
    <w:rsid w:val="00E91487"/>
    <w:rsid w:val="00E91D41"/>
    <w:rsid w:val="00E9350C"/>
    <w:rsid w:val="00E94DCA"/>
    <w:rsid w:val="00E951AE"/>
    <w:rsid w:val="00E95992"/>
    <w:rsid w:val="00E972A4"/>
    <w:rsid w:val="00E97BB2"/>
    <w:rsid w:val="00EA1065"/>
    <w:rsid w:val="00EA6706"/>
    <w:rsid w:val="00EB2327"/>
    <w:rsid w:val="00EB362B"/>
    <w:rsid w:val="00EB5AC9"/>
    <w:rsid w:val="00EB6C7B"/>
    <w:rsid w:val="00EB73C3"/>
    <w:rsid w:val="00EB7C6D"/>
    <w:rsid w:val="00EC1281"/>
    <w:rsid w:val="00EC3CCF"/>
    <w:rsid w:val="00EC4AA3"/>
    <w:rsid w:val="00EC588F"/>
    <w:rsid w:val="00EC5D7B"/>
    <w:rsid w:val="00EC72EF"/>
    <w:rsid w:val="00EC76BE"/>
    <w:rsid w:val="00ED36A3"/>
    <w:rsid w:val="00ED40AC"/>
    <w:rsid w:val="00ED755E"/>
    <w:rsid w:val="00EE0A52"/>
    <w:rsid w:val="00EE0F7F"/>
    <w:rsid w:val="00EE2C6D"/>
    <w:rsid w:val="00EE3E99"/>
    <w:rsid w:val="00EE48FB"/>
    <w:rsid w:val="00EE7F65"/>
    <w:rsid w:val="00EF07D8"/>
    <w:rsid w:val="00EF1184"/>
    <w:rsid w:val="00EF57A2"/>
    <w:rsid w:val="00EF6F22"/>
    <w:rsid w:val="00EF72C9"/>
    <w:rsid w:val="00F004C2"/>
    <w:rsid w:val="00F015D3"/>
    <w:rsid w:val="00F0175E"/>
    <w:rsid w:val="00F03219"/>
    <w:rsid w:val="00F05209"/>
    <w:rsid w:val="00F05A16"/>
    <w:rsid w:val="00F073B3"/>
    <w:rsid w:val="00F0744C"/>
    <w:rsid w:val="00F1012F"/>
    <w:rsid w:val="00F14BB1"/>
    <w:rsid w:val="00F1560F"/>
    <w:rsid w:val="00F17C6C"/>
    <w:rsid w:val="00F2062C"/>
    <w:rsid w:val="00F2187B"/>
    <w:rsid w:val="00F23F70"/>
    <w:rsid w:val="00F24F25"/>
    <w:rsid w:val="00F260EE"/>
    <w:rsid w:val="00F30113"/>
    <w:rsid w:val="00F30F11"/>
    <w:rsid w:val="00F31C2E"/>
    <w:rsid w:val="00F32DC5"/>
    <w:rsid w:val="00F3586C"/>
    <w:rsid w:val="00F402B0"/>
    <w:rsid w:val="00F43ED2"/>
    <w:rsid w:val="00F5060B"/>
    <w:rsid w:val="00F52C75"/>
    <w:rsid w:val="00F53085"/>
    <w:rsid w:val="00F55D4A"/>
    <w:rsid w:val="00F57E7F"/>
    <w:rsid w:val="00F60144"/>
    <w:rsid w:val="00F6073D"/>
    <w:rsid w:val="00F60ED4"/>
    <w:rsid w:val="00F61E7C"/>
    <w:rsid w:val="00F63B59"/>
    <w:rsid w:val="00F63E4C"/>
    <w:rsid w:val="00F63F0A"/>
    <w:rsid w:val="00F64652"/>
    <w:rsid w:val="00F649AE"/>
    <w:rsid w:val="00F65547"/>
    <w:rsid w:val="00F666E9"/>
    <w:rsid w:val="00F66F18"/>
    <w:rsid w:val="00F70F8C"/>
    <w:rsid w:val="00F75B44"/>
    <w:rsid w:val="00F7747D"/>
    <w:rsid w:val="00F80567"/>
    <w:rsid w:val="00F81DC9"/>
    <w:rsid w:val="00F85E8B"/>
    <w:rsid w:val="00F928C8"/>
    <w:rsid w:val="00F96973"/>
    <w:rsid w:val="00FA073B"/>
    <w:rsid w:val="00FA0D57"/>
    <w:rsid w:val="00FA7307"/>
    <w:rsid w:val="00FA76AA"/>
    <w:rsid w:val="00FB1270"/>
    <w:rsid w:val="00FB3155"/>
    <w:rsid w:val="00FB594F"/>
    <w:rsid w:val="00FB5EA0"/>
    <w:rsid w:val="00FB7493"/>
    <w:rsid w:val="00FC2644"/>
    <w:rsid w:val="00FC30F4"/>
    <w:rsid w:val="00FC492B"/>
    <w:rsid w:val="00FC5FFE"/>
    <w:rsid w:val="00FC6110"/>
    <w:rsid w:val="00FC799A"/>
    <w:rsid w:val="00FD0336"/>
    <w:rsid w:val="00FD3608"/>
    <w:rsid w:val="00FD5AC8"/>
    <w:rsid w:val="00FD7681"/>
    <w:rsid w:val="00FE0012"/>
    <w:rsid w:val="00FE26D6"/>
    <w:rsid w:val="00FE2D5D"/>
    <w:rsid w:val="00FE5271"/>
    <w:rsid w:val="00FE73A7"/>
    <w:rsid w:val="00FF20FA"/>
    <w:rsid w:val="00FF2176"/>
    <w:rsid w:val="00FF2B1F"/>
    <w:rsid w:val="00FF2B3D"/>
    <w:rsid w:val="00FF31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303C6"/>
  <w15:docId w15:val="{67BBC616-9FCC-4FDF-B367-E240710AC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B047F7"/>
    <w:pPr>
      <w:ind w:left="720"/>
      <w:contextualSpacing/>
    </w:pPr>
  </w:style>
  <w:style w:type="paragraph" w:styleId="NormalnyWeb">
    <w:name w:val="Normal (Web)"/>
    <w:basedOn w:val="Normalny"/>
    <w:uiPriority w:val="99"/>
    <w:unhideWhenUsed/>
    <w:rsid w:val="00BF7E3E"/>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BF7E3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F7E3E"/>
  </w:style>
  <w:style w:type="paragraph" w:styleId="Stopka">
    <w:name w:val="footer"/>
    <w:basedOn w:val="Normalny"/>
    <w:link w:val="StopkaZnak"/>
    <w:uiPriority w:val="99"/>
    <w:unhideWhenUsed/>
    <w:rsid w:val="00BF7E3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F7E3E"/>
  </w:style>
  <w:style w:type="character" w:styleId="Uwydatnienie">
    <w:name w:val="Emphasis"/>
    <w:basedOn w:val="Domylnaczcionkaakapitu"/>
    <w:uiPriority w:val="20"/>
    <w:qFormat/>
    <w:rsid w:val="001631A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09664">
      <w:bodyDiv w:val="1"/>
      <w:marLeft w:val="0"/>
      <w:marRight w:val="0"/>
      <w:marTop w:val="0"/>
      <w:marBottom w:val="0"/>
      <w:divBdr>
        <w:top w:val="none" w:sz="0" w:space="0" w:color="auto"/>
        <w:left w:val="none" w:sz="0" w:space="0" w:color="auto"/>
        <w:bottom w:val="none" w:sz="0" w:space="0" w:color="auto"/>
        <w:right w:val="none" w:sz="0" w:space="0" w:color="auto"/>
      </w:divBdr>
    </w:div>
    <w:div w:id="209535539">
      <w:bodyDiv w:val="1"/>
      <w:marLeft w:val="0"/>
      <w:marRight w:val="0"/>
      <w:marTop w:val="0"/>
      <w:marBottom w:val="0"/>
      <w:divBdr>
        <w:top w:val="none" w:sz="0" w:space="0" w:color="auto"/>
        <w:left w:val="none" w:sz="0" w:space="0" w:color="auto"/>
        <w:bottom w:val="none" w:sz="0" w:space="0" w:color="auto"/>
        <w:right w:val="none" w:sz="0" w:space="0" w:color="auto"/>
      </w:divBdr>
    </w:div>
    <w:div w:id="328337175">
      <w:bodyDiv w:val="1"/>
      <w:marLeft w:val="0"/>
      <w:marRight w:val="0"/>
      <w:marTop w:val="0"/>
      <w:marBottom w:val="0"/>
      <w:divBdr>
        <w:top w:val="none" w:sz="0" w:space="0" w:color="auto"/>
        <w:left w:val="none" w:sz="0" w:space="0" w:color="auto"/>
        <w:bottom w:val="none" w:sz="0" w:space="0" w:color="auto"/>
        <w:right w:val="none" w:sz="0" w:space="0" w:color="auto"/>
      </w:divBdr>
    </w:div>
    <w:div w:id="355157109">
      <w:bodyDiv w:val="1"/>
      <w:marLeft w:val="0"/>
      <w:marRight w:val="0"/>
      <w:marTop w:val="0"/>
      <w:marBottom w:val="0"/>
      <w:divBdr>
        <w:top w:val="none" w:sz="0" w:space="0" w:color="auto"/>
        <w:left w:val="none" w:sz="0" w:space="0" w:color="auto"/>
        <w:bottom w:val="none" w:sz="0" w:space="0" w:color="auto"/>
        <w:right w:val="none" w:sz="0" w:space="0" w:color="auto"/>
      </w:divBdr>
    </w:div>
    <w:div w:id="434862852">
      <w:bodyDiv w:val="1"/>
      <w:marLeft w:val="0"/>
      <w:marRight w:val="0"/>
      <w:marTop w:val="0"/>
      <w:marBottom w:val="0"/>
      <w:divBdr>
        <w:top w:val="none" w:sz="0" w:space="0" w:color="auto"/>
        <w:left w:val="none" w:sz="0" w:space="0" w:color="auto"/>
        <w:bottom w:val="none" w:sz="0" w:space="0" w:color="auto"/>
        <w:right w:val="none" w:sz="0" w:space="0" w:color="auto"/>
      </w:divBdr>
    </w:div>
    <w:div w:id="461849699">
      <w:bodyDiv w:val="1"/>
      <w:marLeft w:val="0"/>
      <w:marRight w:val="0"/>
      <w:marTop w:val="0"/>
      <w:marBottom w:val="0"/>
      <w:divBdr>
        <w:top w:val="none" w:sz="0" w:space="0" w:color="auto"/>
        <w:left w:val="none" w:sz="0" w:space="0" w:color="auto"/>
        <w:bottom w:val="none" w:sz="0" w:space="0" w:color="auto"/>
        <w:right w:val="none" w:sz="0" w:space="0" w:color="auto"/>
      </w:divBdr>
    </w:div>
    <w:div w:id="499468643">
      <w:bodyDiv w:val="1"/>
      <w:marLeft w:val="0"/>
      <w:marRight w:val="0"/>
      <w:marTop w:val="0"/>
      <w:marBottom w:val="0"/>
      <w:divBdr>
        <w:top w:val="none" w:sz="0" w:space="0" w:color="auto"/>
        <w:left w:val="none" w:sz="0" w:space="0" w:color="auto"/>
        <w:bottom w:val="none" w:sz="0" w:space="0" w:color="auto"/>
        <w:right w:val="none" w:sz="0" w:space="0" w:color="auto"/>
      </w:divBdr>
    </w:div>
    <w:div w:id="529613966">
      <w:bodyDiv w:val="1"/>
      <w:marLeft w:val="0"/>
      <w:marRight w:val="0"/>
      <w:marTop w:val="0"/>
      <w:marBottom w:val="0"/>
      <w:divBdr>
        <w:top w:val="none" w:sz="0" w:space="0" w:color="auto"/>
        <w:left w:val="none" w:sz="0" w:space="0" w:color="auto"/>
        <w:bottom w:val="none" w:sz="0" w:space="0" w:color="auto"/>
        <w:right w:val="none" w:sz="0" w:space="0" w:color="auto"/>
      </w:divBdr>
    </w:div>
    <w:div w:id="626787575">
      <w:bodyDiv w:val="1"/>
      <w:marLeft w:val="0"/>
      <w:marRight w:val="0"/>
      <w:marTop w:val="0"/>
      <w:marBottom w:val="0"/>
      <w:divBdr>
        <w:top w:val="none" w:sz="0" w:space="0" w:color="auto"/>
        <w:left w:val="none" w:sz="0" w:space="0" w:color="auto"/>
        <w:bottom w:val="none" w:sz="0" w:space="0" w:color="auto"/>
        <w:right w:val="none" w:sz="0" w:space="0" w:color="auto"/>
      </w:divBdr>
    </w:div>
    <w:div w:id="629750408">
      <w:bodyDiv w:val="1"/>
      <w:marLeft w:val="0"/>
      <w:marRight w:val="0"/>
      <w:marTop w:val="0"/>
      <w:marBottom w:val="0"/>
      <w:divBdr>
        <w:top w:val="none" w:sz="0" w:space="0" w:color="auto"/>
        <w:left w:val="none" w:sz="0" w:space="0" w:color="auto"/>
        <w:bottom w:val="none" w:sz="0" w:space="0" w:color="auto"/>
        <w:right w:val="none" w:sz="0" w:space="0" w:color="auto"/>
      </w:divBdr>
    </w:div>
    <w:div w:id="696389933">
      <w:bodyDiv w:val="1"/>
      <w:marLeft w:val="0"/>
      <w:marRight w:val="0"/>
      <w:marTop w:val="0"/>
      <w:marBottom w:val="0"/>
      <w:divBdr>
        <w:top w:val="none" w:sz="0" w:space="0" w:color="auto"/>
        <w:left w:val="none" w:sz="0" w:space="0" w:color="auto"/>
        <w:bottom w:val="none" w:sz="0" w:space="0" w:color="auto"/>
        <w:right w:val="none" w:sz="0" w:space="0" w:color="auto"/>
      </w:divBdr>
    </w:div>
    <w:div w:id="958952299">
      <w:bodyDiv w:val="1"/>
      <w:marLeft w:val="0"/>
      <w:marRight w:val="0"/>
      <w:marTop w:val="0"/>
      <w:marBottom w:val="0"/>
      <w:divBdr>
        <w:top w:val="none" w:sz="0" w:space="0" w:color="auto"/>
        <w:left w:val="none" w:sz="0" w:space="0" w:color="auto"/>
        <w:bottom w:val="none" w:sz="0" w:space="0" w:color="auto"/>
        <w:right w:val="none" w:sz="0" w:space="0" w:color="auto"/>
      </w:divBdr>
    </w:div>
    <w:div w:id="988942165">
      <w:bodyDiv w:val="1"/>
      <w:marLeft w:val="0"/>
      <w:marRight w:val="0"/>
      <w:marTop w:val="0"/>
      <w:marBottom w:val="0"/>
      <w:divBdr>
        <w:top w:val="none" w:sz="0" w:space="0" w:color="auto"/>
        <w:left w:val="none" w:sz="0" w:space="0" w:color="auto"/>
        <w:bottom w:val="none" w:sz="0" w:space="0" w:color="auto"/>
        <w:right w:val="none" w:sz="0" w:space="0" w:color="auto"/>
      </w:divBdr>
    </w:div>
    <w:div w:id="995953931">
      <w:bodyDiv w:val="1"/>
      <w:marLeft w:val="0"/>
      <w:marRight w:val="0"/>
      <w:marTop w:val="0"/>
      <w:marBottom w:val="0"/>
      <w:divBdr>
        <w:top w:val="none" w:sz="0" w:space="0" w:color="auto"/>
        <w:left w:val="none" w:sz="0" w:space="0" w:color="auto"/>
        <w:bottom w:val="none" w:sz="0" w:space="0" w:color="auto"/>
        <w:right w:val="none" w:sz="0" w:space="0" w:color="auto"/>
      </w:divBdr>
    </w:div>
    <w:div w:id="1238587623">
      <w:bodyDiv w:val="1"/>
      <w:marLeft w:val="0"/>
      <w:marRight w:val="0"/>
      <w:marTop w:val="0"/>
      <w:marBottom w:val="0"/>
      <w:divBdr>
        <w:top w:val="none" w:sz="0" w:space="0" w:color="auto"/>
        <w:left w:val="none" w:sz="0" w:space="0" w:color="auto"/>
        <w:bottom w:val="none" w:sz="0" w:space="0" w:color="auto"/>
        <w:right w:val="none" w:sz="0" w:space="0" w:color="auto"/>
      </w:divBdr>
    </w:div>
    <w:div w:id="1413962906">
      <w:bodyDiv w:val="1"/>
      <w:marLeft w:val="0"/>
      <w:marRight w:val="0"/>
      <w:marTop w:val="0"/>
      <w:marBottom w:val="0"/>
      <w:divBdr>
        <w:top w:val="none" w:sz="0" w:space="0" w:color="auto"/>
        <w:left w:val="none" w:sz="0" w:space="0" w:color="auto"/>
        <w:bottom w:val="none" w:sz="0" w:space="0" w:color="auto"/>
        <w:right w:val="none" w:sz="0" w:space="0" w:color="auto"/>
      </w:divBdr>
    </w:div>
    <w:div w:id="1594509936">
      <w:bodyDiv w:val="1"/>
      <w:marLeft w:val="0"/>
      <w:marRight w:val="0"/>
      <w:marTop w:val="0"/>
      <w:marBottom w:val="0"/>
      <w:divBdr>
        <w:top w:val="none" w:sz="0" w:space="0" w:color="auto"/>
        <w:left w:val="none" w:sz="0" w:space="0" w:color="auto"/>
        <w:bottom w:val="none" w:sz="0" w:space="0" w:color="auto"/>
        <w:right w:val="none" w:sz="0" w:space="0" w:color="auto"/>
      </w:divBdr>
    </w:div>
    <w:div w:id="1624145568">
      <w:bodyDiv w:val="1"/>
      <w:marLeft w:val="0"/>
      <w:marRight w:val="0"/>
      <w:marTop w:val="0"/>
      <w:marBottom w:val="0"/>
      <w:divBdr>
        <w:top w:val="none" w:sz="0" w:space="0" w:color="auto"/>
        <w:left w:val="none" w:sz="0" w:space="0" w:color="auto"/>
        <w:bottom w:val="none" w:sz="0" w:space="0" w:color="auto"/>
        <w:right w:val="none" w:sz="0" w:space="0" w:color="auto"/>
      </w:divBdr>
    </w:div>
    <w:div w:id="1719160524">
      <w:bodyDiv w:val="1"/>
      <w:marLeft w:val="0"/>
      <w:marRight w:val="0"/>
      <w:marTop w:val="0"/>
      <w:marBottom w:val="0"/>
      <w:divBdr>
        <w:top w:val="none" w:sz="0" w:space="0" w:color="auto"/>
        <w:left w:val="none" w:sz="0" w:space="0" w:color="auto"/>
        <w:bottom w:val="none" w:sz="0" w:space="0" w:color="auto"/>
        <w:right w:val="none" w:sz="0" w:space="0" w:color="auto"/>
      </w:divBdr>
    </w:div>
    <w:div w:id="1777019363">
      <w:bodyDiv w:val="1"/>
      <w:marLeft w:val="0"/>
      <w:marRight w:val="0"/>
      <w:marTop w:val="0"/>
      <w:marBottom w:val="0"/>
      <w:divBdr>
        <w:top w:val="none" w:sz="0" w:space="0" w:color="auto"/>
        <w:left w:val="none" w:sz="0" w:space="0" w:color="auto"/>
        <w:bottom w:val="none" w:sz="0" w:space="0" w:color="auto"/>
        <w:right w:val="none" w:sz="0" w:space="0" w:color="auto"/>
      </w:divBdr>
    </w:div>
    <w:div w:id="1980181661">
      <w:bodyDiv w:val="1"/>
      <w:marLeft w:val="0"/>
      <w:marRight w:val="0"/>
      <w:marTop w:val="0"/>
      <w:marBottom w:val="0"/>
      <w:divBdr>
        <w:top w:val="none" w:sz="0" w:space="0" w:color="auto"/>
        <w:left w:val="none" w:sz="0" w:space="0" w:color="auto"/>
        <w:bottom w:val="none" w:sz="0" w:space="0" w:color="auto"/>
        <w:right w:val="none" w:sz="0" w:space="0" w:color="auto"/>
      </w:divBdr>
    </w:div>
    <w:div w:id="2052878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1A984-4DA1-4D4B-AE7D-9B627829E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4757</Words>
  <Characters>28543</Characters>
  <Application>Microsoft Office Word</Application>
  <DocSecurity>0</DocSecurity>
  <Lines>237</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Ilona</dc:creator>
  <cp:lastModifiedBy>Ilona Przybojewska</cp:lastModifiedBy>
  <cp:revision>7</cp:revision>
  <dcterms:created xsi:type="dcterms:W3CDTF">2016-03-05T08:01:00Z</dcterms:created>
  <dcterms:modified xsi:type="dcterms:W3CDTF">2024-03-29T08:20:00Z</dcterms:modified>
</cp:coreProperties>
</file>