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32E230" w14:textId="77777777" w:rsidR="00A1696E" w:rsidRDefault="00000000">
      <w:pPr>
        <w:pStyle w:val="TitleStyle"/>
      </w:pPr>
      <w:r>
        <w:t xml:space="preserve">I KK 176/22, Ustalenie zamiaru zabójstwa nożem - Postanowienie Sądu Najwyższego </w:t>
      </w:r>
    </w:p>
    <w:p w14:paraId="351C13AB" w14:textId="77777777" w:rsidR="00A1696E" w:rsidRDefault="00000000">
      <w:pPr>
        <w:pStyle w:val="NormalStyle"/>
      </w:pPr>
      <w:r>
        <w:t>LEX nr 3477883</w:t>
      </w:r>
    </w:p>
    <w:p w14:paraId="112B64DC" w14:textId="77777777" w:rsidR="00A1696E" w:rsidRDefault="00000000">
      <w:pPr>
        <w:pStyle w:val="HeaderStyle"/>
      </w:pPr>
      <w:r>
        <w:t>Postanowienie</w:t>
      </w:r>
    </w:p>
    <w:p w14:paraId="48C90850" w14:textId="77777777" w:rsidR="00A1696E" w:rsidRDefault="00000000">
      <w:pPr>
        <w:pStyle w:val="HeaderStyle"/>
      </w:pPr>
      <w:r>
        <w:t xml:space="preserve">Sądu Najwyższego </w:t>
      </w:r>
    </w:p>
    <w:p w14:paraId="6350CE56" w14:textId="77777777" w:rsidR="00A1696E" w:rsidRDefault="00000000">
      <w:pPr>
        <w:pStyle w:val="HeaderStyle"/>
      </w:pPr>
      <w:r>
        <w:t>z dnia 29 czerwca 2022 r.</w:t>
      </w:r>
    </w:p>
    <w:p w14:paraId="2E089AF3" w14:textId="77777777" w:rsidR="00A1696E" w:rsidRDefault="00000000">
      <w:pPr>
        <w:pStyle w:val="HeaderStyle"/>
      </w:pPr>
      <w:r>
        <w:t>I KK 176/22</w:t>
      </w:r>
    </w:p>
    <w:p w14:paraId="1B2D30B9" w14:textId="77777777" w:rsidR="00A1696E" w:rsidRDefault="00000000">
      <w:pPr>
        <w:pStyle w:val="HeaderStyle"/>
      </w:pPr>
      <w:r>
        <w:t>Ustalenie zamiaru zabójstwa nożem</w:t>
      </w:r>
    </w:p>
    <w:p w14:paraId="2FB2F7E2" w14:textId="77777777" w:rsidR="00A1696E" w:rsidRDefault="00000000">
      <w:pPr>
        <w:pStyle w:val="HeaderStyle"/>
      </w:pPr>
      <w:r>
        <w:t>TEZA aktualna</w:t>
      </w:r>
    </w:p>
    <w:p w14:paraId="7FDC684C" w14:textId="77777777" w:rsidR="00A1696E" w:rsidRDefault="00000000">
      <w:pPr>
        <w:spacing w:before="25" w:after="0"/>
        <w:jc w:val="both"/>
      </w:pPr>
      <w:r>
        <w:rPr>
          <w:color w:val="000000"/>
        </w:rPr>
        <w:t>Uwzględniając dynamikę zajścia, warunki oświetleniowe, odzież, w którą był ubrany pokrzywdzony, brak jest podstaw do przyjęcia istnienia u oskarżonego świadomości koniecznego skutku, a więc sytuacji, w której sprawca uświadamia sobie, iż dany skutek, in concreto, musi nastąpić. Nie przemawia za zamiarem bezpośrednim okoliczność nieudzielenia przez oskarżonego pomocy pokrzywdzonemu, skoro oskarżony miał świadomość, iż w pobliżu znajdują się osoby, które znał i które towarzyszyły także pokrzywdzonemu.</w:t>
      </w:r>
    </w:p>
    <w:p w14:paraId="459A2B96" w14:textId="77777777" w:rsidR="00A1696E" w:rsidRDefault="00000000">
      <w:pPr>
        <w:spacing w:before="25" w:after="0"/>
        <w:jc w:val="both"/>
      </w:pPr>
      <w:r>
        <w:rPr>
          <w:color w:val="000000"/>
        </w:rPr>
        <w:t>Pościg oskarżonego za pokrzywdzonym związany był z zamiarem zadania pokrzywdzonemu ciosu nożem. Opisywany przez oskarżonego w jego wyjaśnieniach sposób usytuowania pokrzywdzonego (skoro zauważył obrót pokrzywdzonego w jego stronę i ruch ręki w kierunku kieszeni) uprawnia do wniosku, iż mimo przemieszczania się, tego rodzaju usytuowanie było oskarżonemu znane i przy takim jego usytuowaniu, skierował on w kierunku pokrzywdzonego uderzenie mające postać ciosu. Zasadne było zatem ustalenie, iż lokalizacja tego uderzenia, to jest klatka piersiowa pokrzywdzonego, była objęta świadomością, zamiarem oskarżonego, nie wynikła zaś z przypadkowej zmiany miejsca trafienia wyprowadzonego ciosu, to jest sytuacji w której uderzenie nakierowane na określone miejsce trafia ostatecznie w inne, np. na skutek nagłego przemieszczenia się napastnika, a tym bardziej osoby atakowanej, czy też znalezienie się na linii uderzenia szeroko rozumianej przeszkody skutkującej zmianą miejsca trafienia.</w:t>
      </w:r>
    </w:p>
    <w:p w14:paraId="4686FC9F" w14:textId="77777777" w:rsidR="00A1696E" w:rsidRDefault="00000000">
      <w:pPr>
        <w:pStyle w:val="HeaderStyle"/>
      </w:pPr>
      <w:r>
        <w:t>UZASADNIENIE</w:t>
      </w:r>
    </w:p>
    <w:p w14:paraId="3E88CADE" w14:textId="77777777" w:rsidR="00A1696E" w:rsidRDefault="00000000">
      <w:pPr>
        <w:spacing w:before="164" w:after="0"/>
      </w:pPr>
      <w:r>
        <w:rPr>
          <w:b/>
          <w:color w:val="000000"/>
        </w:rPr>
        <w:t>Uzasadnienie faktyczne</w:t>
      </w:r>
    </w:p>
    <w:p w14:paraId="20DB8642" w14:textId="77777777" w:rsidR="00A1696E" w:rsidRDefault="00000000">
      <w:pPr>
        <w:spacing w:before="25" w:after="0"/>
      </w:pPr>
      <w:r>
        <w:rPr>
          <w:color w:val="000000"/>
        </w:rPr>
        <w:t>Wyrokiem z dnia 25 maja 2021 r., sygn. III K (...), Sąd Okręgowy w L.:</w:t>
      </w:r>
    </w:p>
    <w:p w14:paraId="20BA6320" w14:textId="77777777" w:rsidR="00A1696E" w:rsidRDefault="00000000">
      <w:pPr>
        <w:spacing w:before="25" w:after="0"/>
      </w:pPr>
      <w:r>
        <w:rPr>
          <w:color w:val="000000"/>
        </w:rPr>
        <w:t xml:space="preserve">1. uznał oskarżonego B. K. za winnego tego, że w dniu 2 maja 2021 r. w L. dokonał zabójstwa A. H. w ten sposób, że działając w zamiarze bezpośrednim pozbawienia go życia, zadał mu uderzenie nożem w okolice klatki piersiowej, powodując ranę kłutą klatki piersiowej drążącą do mięśnia sercowego, skutkującą intensywnym krwotokiem wewnętrznym i zewnętrznym, prowadzącą do gwałtownego zgonu pokrzywdzonego, to jest czynu z </w:t>
      </w:r>
      <w:r>
        <w:rPr>
          <w:color w:val="1B1B1B"/>
        </w:rPr>
        <w:t>art. 148 § 1</w:t>
      </w:r>
      <w:r>
        <w:rPr>
          <w:color w:val="000000"/>
        </w:rPr>
        <w:t xml:space="preserve"> k.k. i za ten czyn wymierzył mu karę 15 lat pozbawienia wolności; 2. na podstawie </w:t>
      </w:r>
      <w:r>
        <w:rPr>
          <w:color w:val="1B1B1B"/>
        </w:rPr>
        <w:t>art. 46 § 2</w:t>
      </w:r>
      <w:r>
        <w:rPr>
          <w:color w:val="000000"/>
        </w:rPr>
        <w:t xml:space="preserve"> k.k. orzekł od oskarżonego na rzecz G. H. i </w:t>
      </w:r>
      <w:proofErr w:type="spellStart"/>
      <w:r>
        <w:rPr>
          <w:color w:val="000000"/>
        </w:rPr>
        <w:t>I</w:t>
      </w:r>
      <w:proofErr w:type="spellEnd"/>
      <w:r>
        <w:rPr>
          <w:color w:val="000000"/>
        </w:rPr>
        <w:t>. H. nawiązki w kwocie po 50.000,00 zł, zaś na rzecz D. H. w kwocie 30.000,00 zł.</w:t>
      </w:r>
    </w:p>
    <w:p w14:paraId="2979919A" w14:textId="77777777" w:rsidR="00A1696E" w:rsidRDefault="00000000">
      <w:pPr>
        <w:spacing w:before="25" w:after="0"/>
      </w:pPr>
      <w:r>
        <w:rPr>
          <w:color w:val="000000"/>
        </w:rPr>
        <w:lastRenderedPageBreak/>
        <w:t xml:space="preserve">Po rozpoznaniu apelacji obrońcy oskarżonego wyrokiem z dnia 23 września 2021 r., sygn. II </w:t>
      </w:r>
      <w:proofErr w:type="spellStart"/>
      <w:r>
        <w:rPr>
          <w:color w:val="000000"/>
        </w:rPr>
        <w:t>AKa</w:t>
      </w:r>
      <w:proofErr w:type="spellEnd"/>
      <w:r>
        <w:rPr>
          <w:color w:val="000000"/>
        </w:rPr>
        <w:t xml:space="preserve"> (...), Sąd Apelacyjny w (...):</w:t>
      </w:r>
    </w:p>
    <w:p w14:paraId="37D385A8" w14:textId="77777777" w:rsidR="00A1696E" w:rsidRDefault="00000000">
      <w:pPr>
        <w:spacing w:before="25" w:after="0"/>
      </w:pPr>
      <w:r>
        <w:rPr>
          <w:color w:val="000000"/>
        </w:rPr>
        <w:t>I. zmienił zaskarżony wyrok w ten sposób, że:</w:t>
      </w:r>
    </w:p>
    <w:p w14:paraId="48BB4729" w14:textId="77777777" w:rsidR="00A1696E" w:rsidRDefault="00000000">
      <w:pPr>
        <w:spacing w:before="25" w:after="0"/>
      </w:pPr>
      <w:r>
        <w:rPr>
          <w:color w:val="000000"/>
        </w:rPr>
        <w:t>1. w miejsce ustalenia o działaniu z zamiarem bezpośrednim przyjął ustalenie o działaniu z zamiarem ewentualnym zabójstwa;</w:t>
      </w:r>
    </w:p>
    <w:p w14:paraId="53A5D486" w14:textId="77777777" w:rsidR="00A1696E" w:rsidRDefault="00000000">
      <w:pPr>
        <w:spacing w:before="25" w:after="0"/>
      </w:pPr>
      <w:r>
        <w:rPr>
          <w:color w:val="000000"/>
        </w:rPr>
        <w:t>2. orzeczoną karę pozbawienia wolności obniżył do 11 lat;</w:t>
      </w:r>
    </w:p>
    <w:p w14:paraId="1BD6F059" w14:textId="77777777" w:rsidR="00A1696E" w:rsidRDefault="00000000">
      <w:pPr>
        <w:spacing w:before="25" w:after="0"/>
      </w:pPr>
      <w:r>
        <w:rPr>
          <w:color w:val="000000"/>
        </w:rPr>
        <w:t>3. wysokość nawiązki orzeczonej na rzecz D. H. obniżył do 10.000,00 zł;</w:t>
      </w:r>
    </w:p>
    <w:p w14:paraId="1FCF4DBE" w14:textId="77777777" w:rsidR="00A1696E" w:rsidRDefault="00000000">
      <w:pPr>
        <w:spacing w:before="25" w:after="0"/>
      </w:pPr>
      <w:r>
        <w:rPr>
          <w:color w:val="000000"/>
        </w:rPr>
        <w:t>II. w pozostałym zakresie utrzymał w mocy zaskarżony wyrok;</w:t>
      </w:r>
    </w:p>
    <w:p w14:paraId="61A3FAAB" w14:textId="276362B2" w:rsidR="00A1696E" w:rsidRDefault="003F2F2E">
      <w:pPr>
        <w:spacing w:before="25" w:after="0"/>
      </w:pPr>
      <w:r>
        <w:rPr>
          <w:color w:val="000000"/>
        </w:rPr>
        <w:t>(…)</w:t>
      </w:r>
    </w:p>
    <w:p w14:paraId="6AD44BA8" w14:textId="77777777" w:rsidR="00A1696E" w:rsidRDefault="00000000">
      <w:pPr>
        <w:spacing w:before="164" w:after="0"/>
      </w:pPr>
      <w:r>
        <w:rPr>
          <w:b/>
          <w:color w:val="000000"/>
        </w:rPr>
        <w:t>Uzasadnienie prawne</w:t>
      </w:r>
    </w:p>
    <w:p w14:paraId="6D676E8E" w14:textId="77777777" w:rsidR="00A1696E" w:rsidRDefault="00000000">
      <w:pPr>
        <w:spacing w:before="25" w:after="0"/>
      </w:pPr>
      <w:r>
        <w:rPr>
          <w:color w:val="000000"/>
        </w:rPr>
        <w:t>Sąd Najwyższy zważył, co następuje:</w:t>
      </w:r>
    </w:p>
    <w:p w14:paraId="3175CEEE" w14:textId="52B3BAAC" w:rsidR="00A1696E" w:rsidRDefault="003F2F2E">
      <w:pPr>
        <w:spacing w:before="25" w:after="0"/>
      </w:pPr>
      <w:r>
        <w:rPr>
          <w:color w:val="000000"/>
        </w:rPr>
        <w:t>(…)</w:t>
      </w:r>
    </w:p>
    <w:p w14:paraId="2E0DA2DB" w14:textId="77777777" w:rsidR="00A1696E" w:rsidRDefault="00000000">
      <w:pPr>
        <w:spacing w:before="25" w:after="0"/>
      </w:pPr>
      <w:r>
        <w:rPr>
          <w:color w:val="000000"/>
        </w:rPr>
        <w:t>Analizując materiał dowodowy sprawy, Sąd odwoławczy zauważył, że treść nagrania zabezpieczonego na karcie 157 obejmująca część początkowej fazy zdarzenia, potwierdza, iż już w tej fazie zdarzenia oskarżony wyciągnął nóż, wykonywał charakterystyczne ruchy w kierunku pokrzywdzonego, ten zaś jedynie manewry obronne, a następnie zaczął uciekać. Prawidłowe jest więc, oparte o dowód o charakterze obiektywnym ustalenie Sądu odwoławczego, że już w tej fazie zajścia oskarżony uzyskał przewagę nad pokrzywdzonym, przy pierwotnej przewadze fizycznej tego ostatniego, pokrzywdzony z uwagi na to zdecydował się uciec (s. 8 uzasadnienia SA).</w:t>
      </w:r>
    </w:p>
    <w:p w14:paraId="5C2D7643" w14:textId="77777777" w:rsidR="00A1696E" w:rsidRDefault="00000000">
      <w:pPr>
        <w:spacing w:before="25" w:after="0"/>
      </w:pPr>
      <w:r>
        <w:rPr>
          <w:color w:val="000000"/>
        </w:rPr>
        <w:t>W tym kontekście za trafne uznano ustalenie Sądu I instancji, iż pobiegnięcie oskarżonego w ślad za pokrzywdzonym, nie było nakierowane na pokazanie swojej przewagi, skoro ten efekt został już osiągnięty wcześniej, natomiast zamiarem oskarżonego było uderzenie pokrzywdzonego trzymanym w ręku nożem.</w:t>
      </w:r>
    </w:p>
    <w:p w14:paraId="571EC5D9" w14:textId="77777777" w:rsidR="00A1696E" w:rsidRDefault="00000000">
      <w:pPr>
        <w:spacing w:before="25" w:after="0"/>
      </w:pPr>
      <w:r>
        <w:rPr>
          <w:color w:val="000000"/>
        </w:rPr>
        <w:t>Należy zgodzić się również, że na podstawie jedynie tego ustalenia nie można wywodzić zamiaru bezpośredniego zabójstwa, jak to uczynił Sąd Okręgowy, uwzględnić należy dalsze okoliczności, przede wszystkim związane z tym, iż oskarżony zadał tylko jeden cios w klatkę piersiową pokrzywdzonego, zaś pokrzywdzony nie upadł pod wpływem tego ciosu, wypowiadał jeszcze określone treści stanowczym głosem do oskarżonego.</w:t>
      </w:r>
    </w:p>
    <w:p w14:paraId="52990A0C" w14:textId="77777777" w:rsidR="00A1696E" w:rsidRDefault="00000000">
      <w:pPr>
        <w:spacing w:before="25" w:after="0"/>
      </w:pPr>
      <w:r>
        <w:rPr>
          <w:color w:val="000000"/>
        </w:rPr>
        <w:t>Zdaniem Sądu odwoławczego oskarżony był z jednej strony w pełni świadom w jaki sposób, czym i w jaką część ciała pokrzywdzonego (klatkę piersiową) uderzył, z drugiej zaś wiedział, iż nie doszło do natychmiastowego, zauważonego dla niego zrealizowania zamierzonego skutku w postaci śmierci pokrzywdzonego, skoro ten formułował określone wypowiedzi, stanowczym czy momentami wręcz wulgarnym językiem. Oskarżony był przy tym także świadom swojej przewagi związanej z posiadanym nożem, którego użycia pokrzywdzony nie był w stanie zapobiec przy pierwszym ciosie - pozostałe osoby znajdowały się kilkadziesiąt metrów dalej, a tym samym oskarżony miał obiektywną możliwość kontynuowania zadawania ciosów, tak aby mieć pewność osiągnięcia zamierzonego celu, a czego bez wątpienia nie uczynił.</w:t>
      </w:r>
    </w:p>
    <w:p w14:paraId="54233DA2" w14:textId="77777777" w:rsidR="00A1696E" w:rsidRDefault="00000000">
      <w:pPr>
        <w:spacing w:before="25" w:after="0"/>
      </w:pPr>
      <w:r>
        <w:rPr>
          <w:color w:val="000000"/>
        </w:rPr>
        <w:t xml:space="preserve">W trafnej ocenie Sądu ad </w:t>
      </w:r>
      <w:proofErr w:type="spellStart"/>
      <w:r>
        <w:rPr>
          <w:color w:val="000000"/>
        </w:rPr>
        <w:t>quem</w:t>
      </w:r>
      <w:proofErr w:type="spellEnd"/>
      <w:r>
        <w:rPr>
          <w:color w:val="000000"/>
        </w:rPr>
        <w:t xml:space="preserve">, uwzględniając dynamikę zajścia, warunki oświetleniowe, odzież, w którą był ubrany pokrzywdzony, brak jest podstaw do przyjęcia istnienia u oskarżonego świadomości koniecznego skutku, a więc sytuacji, w której sprawca uświadamia </w:t>
      </w:r>
      <w:r>
        <w:rPr>
          <w:color w:val="000000"/>
        </w:rPr>
        <w:lastRenderedPageBreak/>
        <w:t>sobie, iż dany skutek, in concreto, musi nastąpić (podkreślenie - SN). Nie przemawia za zamiarem bezpośrednim okoliczność nie udzielenia przez oskarżonego pomocy pokrzywdzonemu, skoro oskarżony miał świadomość, iż w pobliżu znajdują się osoby, które znał i które towarzyszyły także pokrzywdzonemu, stąd jego oddalenie się z miejsca zdarzenia, połączone z porzuceniem w nieodległym odległości noża, ocenić należało nie jako wyraz realizacji zamiaru bezpośredniego zabójstwa, lecz obawy o odpowiedzialność karną związaną ze zrealizowanym swoim działaniem, to jest celowym, o określonej sile i lokalizacji uderzeniu nożem pokrzywdzonego z jednoczesną świadomością możliwości dalej idącego skutku w postaci spowodowania śmierci pokrzywdzonego, na których zdaniem Sądu Apelacyjnego oskarżony się godził.</w:t>
      </w:r>
    </w:p>
    <w:p w14:paraId="6700506F" w14:textId="77777777" w:rsidR="00A1696E" w:rsidRDefault="00000000">
      <w:pPr>
        <w:spacing w:before="25" w:after="0"/>
      </w:pPr>
      <w:r>
        <w:rPr>
          <w:color w:val="000000"/>
        </w:rPr>
        <w:t>Sąd Apelacyjny przypomniał, że zachodzi zamiar ewentualny wówczas, gdy sprawca uświadamia sobie w sferze intelektualnej możliwość nastąpienia danego, dalej idącego skutku i zaistnienie tego skutku jest mu obojętne w tym znaczeniu, iż nie chce go w takim znaczeniu jaki występuje przy zamiarze bezpośrednim, natomiast jednocześnie jest mu obojętne ("godzi się") czy on nastąpi, czy też nie. Ta postać zamiaru co do zasady nie występuje samodzielnie, innymi słowy występuje obok innego zamiaru (bezpośredniego), z którym mamy do czynienia w przypadku podjęcia określonego działania dla osiągnięcia zamierzonego skutku z jednoczesnym uświadomieniem sobie możliwości wystąpienia innego, dalej idącego, a objętego wyżej określonym "godzeniem się".</w:t>
      </w:r>
    </w:p>
    <w:p w14:paraId="121A9156" w14:textId="77777777" w:rsidR="00A1696E" w:rsidRDefault="00000000">
      <w:pPr>
        <w:spacing w:before="25" w:after="0"/>
      </w:pPr>
      <w:r>
        <w:rPr>
          <w:color w:val="000000"/>
        </w:rPr>
        <w:t>W realiach niniejszej sprawy Sąd odwoławczy prawidłowo przyjął, iż pościg oskarżonego za pokrzywdzonym związany był z zamiarem zadania pokrzywdzonemu ciosu nożem. Opisywany przez oskarżonego w jego wyjaśnieniach sposób usytuowania pokrzywdzonego (skoro zauważył obrót pokrzywdzonego w jego stronę i ruch ręki w kierunku kieszeni) uprawnia do wniosku, iż mimo przemieszczania się, tego rodzaju usytuowanie było oskarżonemu znane i przy takim jego usytuowaniu, skierował on w kierunku pokrzywdzonego uderzenie mające postać ciosu. Zasadne było zatem ustalenie, iż lokalizacja tego uderzenia, to jest klatka piersiowa pokrzywdzonego, była objęta świadomością, zamiarem oskarżonego, nie wynikła zaś z przypadkowej zmiany miejsca trafienia wyprowadzonego ciosu, to jest sytuacji w której uderzenie nakierowane na określone miejsce trafia ostatecznie w inne, np. na skutek nagłego przemieszczenia się napastnika, a tym bardziej osoby atakowanej, czy też znalezienie się na linii uderzenia szeroko rozumianej przeszkody skutkującej zmianą miejsca trafienia.</w:t>
      </w:r>
    </w:p>
    <w:p w14:paraId="50626669" w14:textId="540D414F" w:rsidR="00A1696E" w:rsidRDefault="00A1696E">
      <w:pPr>
        <w:spacing w:before="25" w:after="0"/>
      </w:pPr>
    </w:p>
    <w:sectPr w:rsidR="00A1696E">
      <w:footerReference w:type="even" r:id="rId6"/>
      <w:footerReference w:type="default" r:id="rId7"/>
      <w:pgSz w:w="11907" w:h="16839" w:code="9"/>
      <w:pgMar w:top="1440" w:right="1440" w:bottom="1440" w:left="144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651DB1B" w14:textId="77777777" w:rsidR="00CB7B48" w:rsidRDefault="00CB7B48" w:rsidP="00F53340">
      <w:pPr>
        <w:spacing w:after="0" w:line="240" w:lineRule="auto"/>
      </w:pPr>
      <w:r>
        <w:separator/>
      </w:r>
    </w:p>
  </w:endnote>
  <w:endnote w:type="continuationSeparator" w:id="0">
    <w:p w14:paraId="59CDF1E9" w14:textId="77777777" w:rsidR="00CB7B48" w:rsidRDefault="00CB7B48" w:rsidP="00F533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erstrony"/>
      </w:rPr>
      <w:id w:val="-594095045"/>
      <w:docPartObj>
        <w:docPartGallery w:val="Page Numbers (Bottom of Page)"/>
        <w:docPartUnique/>
      </w:docPartObj>
    </w:sdtPr>
    <w:sdtContent>
      <w:p w14:paraId="39389FEF" w14:textId="100D6E43" w:rsidR="00F53340" w:rsidRDefault="00F53340" w:rsidP="00164C0E">
        <w:pPr>
          <w:pStyle w:val="Stopka"/>
          <w:framePr w:wrap="none" w:vAnchor="text" w:hAnchor="margin" w:xAlign="right" w:y="1"/>
          <w:rPr>
            <w:rStyle w:val="Numerstrony"/>
          </w:rPr>
        </w:pPr>
        <w:r>
          <w:rPr>
            <w:rStyle w:val="Numerstrony"/>
          </w:rPr>
          <w:fldChar w:fldCharType="begin"/>
        </w:r>
        <w:r>
          <w:rPr>
            <w:rStyle w:val="Numerstrony"/>
          </w:rPr>
          <w:instrText xml:space="preserve"> PAGE </w:instrText>
        </w:r>
        <w:r>
          <w:rPr>
            <w:rStyle w:val="Numerstrony"/>
          </w:rPr>
          <w:fldChar w:fldCharType="end"/>
        </w:r>
      </w:p>
    </w:sdtContent>
  </w:sdt>
  <w:p w14:paraId="723D6AD7" w14:textId="77777777" w:rsidR="00F53340" w:rsidRDefault="00F53340" w:rsidP="00F53340">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erstrony"/>
      </w:rPr>
      <w:id w:val="97834155"/>
      <w:docPartObj>
        <w:docPartGallery w:val="Page Numbers (Bottom of Page)"/>
        <w:docPartUnique/>
      </w:docPartObj>
    </w:sdtPr>
    <w:sdtContent>
      <w:p w14:paraId="211CD21C" w14:textId="121CA40B" w:rsidR="00F53340" w:rsidRDefault="00F53340" w:rsidP="00164C0E">
        <w:pPr>
          <w:pStyle w:val="Stopka"/>
          <w:framePr w:wrap="none" w:vAnchor="text" w:hAnchor="margin" w:xAlign="right" w:y="1"/>
          <w:rPr>
            <w:rStyle w:val="Numerstrony"/>
          </w:rPr>
        </w:pPr>
        <w:r>
          <w:rPr>
            <w:rStyle w:val="Numerstrony"/>
          </w:rPr>
          <w:fldChar w:fldCharType="begin"/>
        </w:r>
        <w:r>
          <w:rPr>
            <w:rStyle w:val="Numerstrony"/>
          </w:rPr>
          <w:instrText xml:space="preserve"> PAGE </w:instrText>
        </w:r>
        <w:r>
          <w:rPr>
            <w:rStyle w:val="Numerstrony"/>
          </w:rPr>
          <w:fldChar w:fldCharType="separate"/>
        </w:r>
        <w:r>
          <w:rPr>
            <w:rStyle w:val="Numerstrony"/>
            <w:noProof/>
          </w:rPr>
          <w:t>1</w:t>
        </w:r>
        <w:r>
          <w:rPr>
            <w:rStyle w:val="Numerstrony"/>
          </w:rPr>
          <w:fldChar w:fldCharType="end"/>
        </w:r>
      </w:p>
    </w:sdtContent>
  </w:sdt>
  <w:p w14:paraId="24A67680" w14:textId="77777777" w:rsidR="00F53340" w:rsidRDefault="00F53340" w:rsidP="00F53340">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89D147D" w14:textId="77777777" w:rsidR="00CB7B48" w:rsidRDefault="00CB7B48" w:rsidP="00F53340">
      <w:pPr>
        <w:spacing w:after="0" w:line="240" w:lineRule="auto"/>
      </w:pPr>
      <w:r>
        <w:separator/>
      </w:r>
    </w:p>
  </w:footnote>
  <w:footnote w:type="continuationSeparator" w:id="0">
    <w:p w14:paraId="0E9DA8B7" w14:textId="77777777" w:rsidR="00CB7B48" w:rsidRDefault="00CB7B48" w:rsidP="00F5334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overrideTableStyleFontSizeAndJustification" w:uri="http://schemas.microsoft.com/office/word" w:val="1"/>
    <w:compatSetting w:name="useWord2013TrackBottomHyphenation" w:uri="http://schemas.microsoft.com/office/word" w:val="1"/>
  </w:compat>
  <w:rsids>
    <w:rsidRoot w:val="00A1696E"/>
    <w:rsid w:val="002F708F"/>
    <w:rsid w:val="003F2F2E"/>
    <w:rsid w:val="00A1696E"/>
    <w:rsid w:val="00CB7B48"/>
    <w:rsid w:val="00F5334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4:docId w14:val="78B6A300"/>
  <w15:docId w15:val="{00B8BF71-47E6-2049-A0A7-2AB5499066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2"/>
        <w:lang w:val="pl-PL"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semiHidden="1" w:unhideWhenUsed="1"/>
    <w:lsdException w:name="Intense Emphasis" w:semiHidden="1" w:unhideWhenUsed="1"/>
    <w:lsdException w:name="Subtle Reference" w:semiHidden="1" w:unhideWhenUsed="1"/>
    <w:lsdException w:name="Intense Reference" w:semiHidden="1" w:unhideWhenUsed="1"/>
    <w:lsdException w:name="Book Title" w:semiHidden="1" w:unhideWhenUsed="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A3277"/>
    <w:rPr>
      <w:rFonts w:ascii="Times New Roman" w:eastAsia="Times New Roman" w:hAnsi="Times New Roman" w:cs="Times New Roman"/>
    </w:rPr>
  </w:style>
  <w:style w:type="paragraph" w:styleId="Nagwek1">
    <w:name w:val="heading 1"/>
    <w:basedOn w:val="Normalny"/>
    <w:next w:val="Normalny"/>
    <w:link w:val="Nagwek1Znak"/>
    <w:uiPriority w:val="9"/>
    <w:qFormat/>
    <w:rsid w:val="00841CD9"/>
    <w:pPr>
      <w:keepNext/>
      <w:keepLines/>
      <w:spacing w:before="480"/>
      <w:outlineLvl w:val="0"/>
    </w:pPr>
    <w:rPr>
      <w:rFonts w:asciiTheme="majorHAnsi" w:eastAsiaTheme="majorEastAsia" w:hAnsiTheme="majorHAnsi" w:cstheme="majorBidi"/>
      <w:b/>
      <w:bCs/>
      <w:color w:val="0F4761" w:themeColor="accent1" w:themeShade="BF"/>
      <w:sz w:val="28"/>
      <w:szCs w:val="28"/>
    </w:rPr>
  </w:style>
  <w:style w:type="paragraph" w:styleId="Nagwek2">
    <w:name w:val="heading 2"/>
    <w:basedOn w:val="Normalny"/>
    <w:next w:val="Normalny"/>
    <w:link w:val="Nagwek2Znak"/>
    <w:uiPriority w:val="9"/>
    <w:unhideWhenUsed/>
    <w:qFormat/>
    <w:rsid w:val="00841CD9"/>
    <w:pPr>
      <w:keepNext/>
      <w:keepLines/>
      <w:spacing w:before="200"/>
      <w:outlineLvl w:val="1"/>
    </w:pPr>
    <w:rPr>
      <w:rFonts w:asciiTheme="majorHAnsi" w:eastAsiaTheme="majorEastAsia" w:hAnsiTheme="majorHAnsi" w:cstheme="majorBidi"/>
      <w:b/>
      <w:bCs/>
      <w:color w:val="156082" w:themeColor="accent1"/>
      <w:sz w:val="26"/>
      <w:szCs w:val="26"/>
    </w:rPr>
  </w:style>
  <w:style w:type="paragraph" w:styleId="Nagwek3">
    <w:name w:val="heading 3"/>
    <w:basedOn w:val="Normalny"/>
    <w:next w:val="Normalny"/>
    <w:link w:val="Nagwek3Znak"/>
    <w:uiPriority w:val="9"/>
    <w:unhideWhenUsed/>
    <w:qFormat/>
    <w:rsid w:val="00841CD9"/>
    <w:pPr>
      <w:keepNext/>
      <w:keepLines/>
      <w:spacing w:before="200"/>
      <w:outlineLvl w:val="2"/>
    </w:pPr>
    <w:rPr>
      <w:rFonts w:asciiTheme="majorHAnsi" w:eastAsiaTheme="majorEastAsia" w:hAnsiTheme="majorHAnsi" w:cstheme="majorBidi"/>
      <w:b/>
      <w:bCs/>
      <w:color w:val="156082" w:themeColor="accent1"/>
    </w:rPr>
  </w:style>
  <w:style w:type="paragraph" w:styleId="Nagwek4">
    <w:name w:val="heading 4"/>
    <w:basedOn w:val="Normalny"/>
    <w:next w:val="Normalny"/>
    <w:link w:val="Nagwek4Znak"/>
    <w:uiPriority w:val="9"/>
    <w:unhideWhenUsed/>
    <w:qFormat/>
    <w:rsid w:val="00841CD9"/>
    <w:pPr>
      <w:keepNext/>
      <w:keepLines/>
      <w:spacing w:before="200"/>
      <w:outlineLvl w:val="3"/>
    </w:pPr>
    <w:rPr>
      <w:rFonts w:asciiTheme="majorHAnsi" w:eastAsiaTheme="majorEastAsia" w:hAnsiTheme="majorHAnsi" w:cstheme="majorBidi"/>
      <w:b/>
      <w:bCs/>
      <w:i/>
      <w:iCs/>
      <w:color w:val="156082"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841CD9"/>
    <w:pPr>
      <w:tabs>
        <w:tab w:val="center" w:pos="4680"/>
        <w:tab w:val="right" w:pos="9360"/>
      </w:tabs>
    </w:pPr>
  </w:style>
  <w:style w:type="character" w:customStyle="1" w:styleId="NagwekZnak">
    <w:name w:val="Nagłówek Znak"/>
    <w:basedOn w:val="Domylnaczcionkaakapitu"/>
    <w:link w:val="Nagwek"/>
    <w:uiPriority w:val="99"/>
    <w:rsid w:val="00841CD9"/>
  </w:style>
  <w:style w:type="character" w:customStyle="1" w:styleId="Nagwek1Znak">
    <w:name w:val="Nagłówek 1 Znak"/>
    <w:basedOn w:val="Domylnaczcionkaakapitu"/>
    <w:link w:val="Nagwek1"/>
    <w:uiPriority w:val="9"/>
    <w:rsid w:val="00841CD9"/>
    <w:rPr>
      <w:rFonts w:asciiTheme="majorHAnsi" w:eastAsiaTheme="majorEastAsia" w:hAnsiTheme="majorHAnsi" w:cstheme="majorBidi"/>
      <w:b/>
      <w:bCs/>
      <w:color w:val="0F4761" w:themeColor="accent1" w:themeShade="BF"/>
      <w:sz w:val="28"/>
      <w:szCs w:val="28"/>
    </w:rPr>
  </w:style>
  <w:style w:type="character" w:customStyle="1" w:styleId="Nagwek2Znak">
    <w:name w:val="Nagłówek 2 Znak"/>
    <w:basedOn w:val="Domylnaczcionkaakapitu"/>
    <w:link w:val="Nagwek2"/>
    <w:uiPriority w:val="9"/>
    <w:rsid w:val="00841CD9"/>
    <w:rPr>
      <w:rFonts w:asciiTheme="majorHAnsi" w:eastAsiaTheme="majorEastAsia" w:hAnsiTheme="majorHAnsi" w:cstheme="majorBidi"/>
      <w:b/>
      <w:bCs/>
      <w:color w:val="156082" w:themeColor="accent1"/>
      <w:sz w:val="26"/>
      <w:szCs w:val="26"/>
    </w:rPr>
  </w:style>
  <w:style w:type="character" w:customStyle="1" w:styleId="Nagwek3Znak">
    <w:name w:val="Nagłówek 3 Znak"/>
    <w:basedOn w:val="Domylnaczcionkaakapitu"/>
    <w:link w:val="Nagwek3"/>
    <w:uiPriority w:val="9"/>
    <w:rsid w:val="00841CD9"/>
    <w:rPr>
      <w:rFonts w:asciiTheme="majorHAnsi" w:eastAsiaTheme="majorEastAsia" w:hAnsiTheme="majorHAnsi" w:cstheme="majorBidi"/>
      <w:b/>
      <w:bCs/>
      <w:color w:val="156082" w:themeColor="accent1"/>
    </w:rPr>
  </w:style>
  <w:style w:type="character" w:customStyle="1" w:styleId="Nagwek4Znak">
    <w:name w:val="Nagłówek 4 Znak"/>
    <w:basedOn w:val="Domylnaczcionkaakapitu"/>
    <w:link w:val="Nagwek4"/>
    <w:uiPriority w:val="9"/>
    <w:rsid w:val="00841CD9"/>
    <w:rPr>
      <w:rFonts w:asciiTheme="majorHAnsi" w:eastAsiaTheme="majorEastAsia" w:hAnsiTheme="majorHAnsi" w:cstheme="majorBidi"/>
      <w:b/>
      <w:bCs/>
      <w:i/>
      <w:iCs/>
      <w:color w:val="156082" w:themeColor="accent1"/>
    </w:rPr>
  </w:style>
  <w:style w:type="paragraph" w:styleId="Wcicienormalne">
    <w:name w:val="Normal Indent"/>
    <w:basedOn w:val="Normalny"/>
    <w:uiPriority w:val="99"/>
    <w:unhideWhenUsed/>
    <w:rsid w:val="00841CD9"/>
    <w:pPr>
      <w:ind w:left="720"/>
    </w:pPr>
  </w:style>
  <w:style w:type="paragraph" w:styleId="Podtytu">
    <w:name w:val="Subtitle"/>
    <w:basedOn w:val="Normalny"/>
    <w:next w:val="Normalny"/>
    <w:link w:val="PodtytuZnak"/>
    <w:uiPriority w:val="11"/>
    <w:qFormat/>
    <w:rsid w:val="00841CD9"/>
    <w:pPr>
      <w:numPr>
        <w:ilvl w:val="1"/>
      </w:numPr>
      <w:ind w:left="86"/>
    </w:pPr>
    <w:rPr>
      <w:rFonts w:asciiTheme="majorHAnsi" w:eastAsiaTheme="majorEastAsia" w:hAnsiTheme="majorHAnsi" w:cstheme="majorBidi"/>
      <w:i/>
      <w:iCs/>
      <w:color w:val="156082" w:themeColor="accent1"/>
      <w:spacing w:val="15"/>
      <w:szCs w:val="24"/>
    </w:rPr>
  </w:style>
  <w:style w:type="character" w:customStyle="1" w:styleId="PodtytuZnak">
    <w:name w:val="Podtytuł Znak"/>
    <w:basedOn w:val="Domylnaczcionkaakapitu"/>
    <w:link w:val="Podtytu"/>
    <w:uiPriority w:val="11"/>
    <w:rsid w:val="00841CD9"/>
    <w:rPr>
      <w:rFonts w:asciiTheme="majorHAnsi" w:eastAsiaTheme="majorEastAsia" w:hAnsiTheme="majorHAnsi" w:cstheme="majorBidi"/>
      <w:i/>
      <w:iCs/>
      <w:color w:val="156082" w:themeColor="accent1"/>
      <w:spacing w:val="15"/>
      <w:sz w:val="24"/>
      <w:szCs w:val="24"/>
    </w:rPr>
  </w:style>
  <w:style w:type="paragraph" w:styleId="Tytu">
    <w:name w:val="Title"/>
    <w:basedOn w:val="Normalny"/>
    <w:next w:val="Normalny"/>
    <w:link w:val="TytuZnak"/>
    <w:uiPriority w:val="10"/>
    <w:qFormat/>
    <w:rsid w:val="00841CD9"/>
    <w:pPr>
      <w:pBdr>
        <w:bottom w:val="single" w:sz="8" w:space="4" w:color="156082" w:themeColor="accent1"/>
      </w:pBdr>
      <w:spacing w:after="300"/>
      <w:contextualSpacing/>
    </w:pPr>
    <w:rPr>
      <w:rFonts w:asciiTheme="majorHAnsi" w:eastAsiaTheme="majorEastAsia" w:hAnsiTheme="majorHAnsi" w:cstheme="majorBidi"/>
      <w:color w:val="0A1D30" w:themeColor="text2" w:themeShade="BF"/>
      <w:spacing w:val="5"/>
      <w:kern w:val="28"/>
      <w:sz w:val="52"/>
      <w:szCs w:val="52"/>
    </w:rPr>
  </w:style>
  <w:style w:type="character" w:customStyle="1" w:styleId="TytuZnak">
    <w:name w:val="Tytuł Znak"/>
    <w:basedOn w:val="Domylnaczcionkaakapitu"/>
    <w:link w:val="Tytu"/>
    <w:uiPriority w:val="10"/>
    <w:rsid w:val="00841CD9"/>
    <w:rPr>
      <w:rFonts w:asciiTheme="majorHAnsi" w:eastAsiaTheme="majorEastAsia" w:hAnsiTheme="majorHAnsi" w:cstheme="majorBidi"/>
      <w:color w:val="0A1D30" w:themeColor="text2" w:themeShade="BF"/>
      <w:spacing w:val="5"/>
      <w:kern w:val="28"/>
      <w:sz w:val="52"/>
      <w:szCs w:val="52"/>
    </w:rPr>
  </w:style>
  <w:style w:type="character" w:styleId="Uwydatnienie">
    <w:name w:val="Emphasis"/>
    <w:basedOn w:val="Domylnaczcionkaakapitu"/>
    <w:uiPriority w:val="20"/>
    <w:qFormat/>
    <w:rsid w:val="00D1197D"/>
    <w:rPr>
      <w:i/>
      <w:iCs/>
    </w:rPr>
  </w:style>
  <w:style w:type="character" w:styleId="Hipercze">
    <w:name w:val="Hyperlink"/>
    <w:basedOn w:val="Domylnaczcionkaakapitu"/>
    <w:uiPriority w:val="99"/>
    <w:unhideWhenUsed/>
    <w:rPr>
      <w:color w:val="467886" w:themeColor="hyperlink"/>
      <w:u w:val="single"/>
    </w:rPr>
  </w:style>
  <w:style w:type="table" w:styleId="Tabela-Siatka">
    <w:name w:val="Table Grid"/>
    <w:basedOn w:val="Standardowy"/>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7109C0"/>
    <w:pPr>
      <w:spacing w:line="240" w:lineRule="auto"/>
    </w:pPr>
    <w:rPr>
      <w:b/>
      <w:bCs/>
      <w:color w:val="156082" w:themeColor="accent1"/>
      <w:sz w:val="18"/>
      <w:szCs w:val="18"/>
    </w:rPr>
  </w:style>
  <w:style w:type="paragraph" w:customStyle="1" w:styleId="HeaderStyle">
    <w:name w:val="HeaderStyle"/>
    <w:pPr>
      <w:spacing w:line="240" w:lineRule="auto"/>
      <w:jc w:val="center"/>
    </w:pPr>
    <w:rPr>
      <w:rFonts w:ascii="Times New Roman" w:eastAsia="Times New Roman" w:hAnsi="Times New Roman" w:cs="Times New Roman"/>
      <w:b/>
      <w:color w:val="000000" w:themeColor="text1"/>
    </w:rPr>
  </w:style>
  <w:style w:type="paragraph" w:customStyle="1" w:styleId="TitleStyle">
    <w:name w:val="TitleStyle"/>
    <w:pPr>
      <w:spacing w:line="240" w:lineRule="auto"/>
    </w:pPr>
    <w:rPr>
      <w:rFonts w:ascii="Times New Roman" w:eastAsia="Times New Roman" w:hAnsi="Times New Roman" w:cs="Times New Roman"/>
      <w:b/>
      <w:color w:val="000000" w:themeColor="text1"/>
    </w:rPr>
  </w:style>
  <w:style w:type="paragraph" w:customStyle="1" w:styleId="TitleCenterStyle">
    <w:name w:val="TitleCenterStyle"/>
    <w:pPr>
      <w:spacing w:line="240" w:lineRule="auto"/>
      <w:jc w:val="center"/>
    </w:pPr>
    <w:rPr>
      <w:rFonts w:ascii="Times New Roman" w:eastAsia="Times New Roman" w:hAnsi="Times New Roman" w:cs="Times New Roman"/>
      <w:b/>
      <w:color w:val="000000" w:themeColor="text1"/>
    </w:rPr>
  </w:style>
  <w:style w:type="paragraph" w:customStyle="1" w:styleId="NormalStyle">
    <w:name w:val="NormalStyle"/>
    <w:pPr>
      <w:spacing w:after="0" w:line="240" w:lineRule="auto"/>
    </w:pPr>
    <w:rPr>
      <w:rFonts w:ascii="Times New Roman" w:eastAsia="Times New Roman" w:hAnsi="Times New Roman" w:cs="Times New Roman"/>
      <w:color w:val="000000" w:themeColor="text1"/>
    </w:rPr>
  </w:style>
  <w:style w:type="paragraph" w:customStyle="1" w:styleId="NormalSpacingStyle">
    <w:name w:val="NormalSpacingStyle"/>
    <w:pPr>
      <w:spacing w:line="240" w:lineRule="auto"/>
    </w:pPr>
    <w:rPr>
      <w:rFonts w:ascii="Times New Roman" w:eastAsia="Times New Roman" w:hAnsi="Times New Roman" w:cs="Times New Roman"/>
      <w:color w:val="000000" w:themeColor="text1"/>
    </w:rPr>
  </w:style>
  <w:style w:type="paragraph" w:customStyle="1" w:styleId="BoldStyle">
    <w:name w:val="BoldStyle"/>
    <w:pPr>
      <w:spacing w:after="0" w:line="240" w:lineRule="auto"/>
    </w:pPr>
    <w:rPr>
      <w:rFonts w:ascii="Times New Roman" w:eastAsia="Times New Roman" w:hAnsi="Times New Roman" w:cs="Times New Roman"/>
      <w:b/>
      <w:color w:val="000000" w:themeColor="text1"/>
    </w:rPr>
  </w:style>
  <w:style w:type="paragraph" w:styleId="Stopka">
    <w:name w:val="footer"/>
    <w:basedOn w:val="Normalny"/>
    <w:link w:val="StopkaZnak"/>
    <w:uiPriority w:val="99"/>
    <w:unhideWhenUsed/>
    <w:rsid w:val="00F53340"/>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53340"/>
    <w:rPr>
      <w:rFonts w:ascii="Times New Roman" w:eastAsia="Times New Roman" w:hAnsi="Times New Roman" w:cs="Times New Roman"/>
    </w:rPr>
  </w:style>
  <w:style w:type="character" w:styleId="Numerstrony">
    <w:name w:val="page number"/>
    <w:basedOn w:val="Domylnaczcionkaakapitu"/>
    <w:uiPriority w:val="99"/>
    <w:semiHidden/>
    <w:unhideWhenUsed/>
    <w:rsid w:val="00F533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1142</Words>
  <Characters>6854</Characters>
  <Application>Microsoft Office Word</Application>
  <DocSecurity>0</DocSecurity>
  <Lines>57</Lines>
  <Paragraphs>15</Paragraphs>
  <ScaleCrop>false</ScaleCrop>
  <Company/>
  <LinksUpToDate>false</LinksUpToDate>
  <CharactersWithSpaces>7981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Witold Zontek</cp:lastModifiedBy>
  <cp:revision>3</cp:revision>
  <dcterms:created xsi:type="dcterms:W3CDTF">2024-12-17T10:13:00Z</dcterms:created>
  <dcterms:modified xsi:type="dcterms:W3CDTF">2024-12-17T10:36:00Z</dcterms:modified>
</cp:coreProperties>
</file>