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C9A543" w14:textId="77777777" w:rsidR="004B013B" w:rsidRDefault="00000000">
      <w:pPr>
        <w:pStyle w:val="TitleStyle"/>
      </w:pPr>
      <w:r>
        <w:t xml:space="preserve">II </w:t>
      </w:r>
      <w:proofErr w:type="spellStart"/>
      <w:r>
        <w:t>AKa</w:t>
      </w:r>
      <w:proofErr w:type="spellEnd"/>
      <w:r>
        <w:t xml:space="preserve"> 78/24, Ustalenie zamiaru zabójstwa nożem - Wyrok Sądu Apelacyjnego w Poznaniu</w:t>
      </w:r>
    </w:p>
    <w:p w14:paraId="77D5F03A" w14:textId="77777777" w:rsidR="004B013B" w:rsidRDefault="00000000">
      <w:pPr>
        <w:pStyle w:val="NormalStyle"/>
      </w:pPr>
      <w:r>
        <w:t>LEX nr 3753640</w:t>
      </w:r>
    </w:p>
    <w:p w14:paraId="656DC8B2" w14:textId="77777777" w:rsidR="004B013B" w:rsidRDefault="00000000">
      <w:pPr>
        <w:pStyle w:val="HeaderStyle"/>
      </w:pPr>
      <w:r>
        <w:t>Wyrok</w:t>
      </w:r>
    </w:p>
    <w:p w14:paraId="3FB93698" w14:textId="77777777" w:rsidR="004B013B" w:rsidRDefault="00000000">
      <w:pPr>
        <w:pStyle w:val="HeaderStyle"/>
      </w:pPr>
      <w:r>
        <w:t>Sądu Apelacyjnego w Poznaniu</w:t>
      </w:r>
    </w:p>
    <w:p w14:paraId="3F704E91" w14:textId="77777777" w:rsidR="004B013B" w:rsidRDefault="00000000">
      <w:pPr>
        <w:pStyle w:val="HeaderStyle"/>
      </w:pPr>
      <w:r>
        <w:t>z dnia 22 maja 2024 r.</w:t>
      </w:r>
    </w:p>
    <w:p w14:paraId="5282F95A" w14:textId="77777777" w:rsidR="004B013B" w:rsidRDefault="00000000">
      <w:pPr>
        <w:pStyle w:val="HeaderStyle"/>
      </w:pPr>
      <w:r>
        <w:t xml:space="preserve">II </w:t>
      </w:r>
      <w:proofErr w:type="spellStart"/>
      <w:r>
        <w:t>AKa</w:t>
      </w:r>
      <w:proofErr w:type="spellEnd"/>
      <w:r>
        <w:t xml:space="preserve"> 78/24</w:t>
      </w:r>
    </w:p>
    <w:p w14:paraId="05A4C206" w14:textId="77777777" w:rsidR="004B013B" w:rsidRDefault="00000000">
      <w:pPr>
        <w:pStyle w:val="HeaderStyle"/>
      </w:pPr>
      <w:r>
        <w:t>Ustalenie zamiaru zabójstwa nożem</w:t>
      </w:r>
    </w:p>
    <w:p w14:paraId="1CB408DE" w14:textId="77777777" w:rsidR="004B013B" w:rsidRDefault="00000000">
      <w:pPr>
        <w:pStyle w:val="HeaderStyle"/>
      </w:pPr>
      <w:r>
        <w:t>TEZA aktualna</w:t>
      </w:r>
    </w:p>
    <w:p w14:paraId="41C4F854" w14:textId="77777777" w:rsidR="004B013B" w:rsidRDefault="00000000">
      <w:pPr>
        <w:spacing w:before="25" w:after="0"/>
      </w:pPr>
      <w:r>
        <w:rPr>
          <w:color w:val="000000"/>
        </w:rPr>
        <w:t>O zamiarze oskarżonego w okolicznościach niniejszej sprawy świadczy oprócz użycia niewątpliwie niebezpiecznego narzędzia w postaci noża o długości ostrza 12cm, dokonanie gwałtownego i zaskakującego ataku poprzez ugodzenie pokrzywdzonego tym nożem w okolice krytycznie ważnych dla życia narządów. Przy czy jak wynikało z opinii biegłej z zakresu medycyny sądowej skierowany przez oskarżonego w klatkę piersiową pokrzywdzonego cios zadany był przy ustawieniu klingi noża w pozycji zbliżonej do prostopadłej powierzchni klatki piersiowej, a z uwagi na fakt uszkodzenia nie tylko ciała pokrzywdzonego, ale również dwóch warstw ubrania w postaci koszulki i bluzy można stwierdzić, że cios zadany w klatkę piersiową był zadany z co najmniej umiarkowaną energią oraz z pewnym zamachnięciem lub tzw. dopchnięciem, a nóż najprawdopodobniej był trzymany mocno, zdecydowanie, w pozycji usztywnionej. Ważne jest także twierdzenie biegłej, że w przypadku nieudzielenia pomocy medycznej pokrzywdzonemu istniało duże prawdopodobieństwo jego zgonu. Nie można więc zgodzić się z ustaleniem sądu I instancji, że działając w taki sposób oskarżony musiał przewidywać jedynie, że spowoduje u pokrzywdzonego "poważną krzywdę" w postaci ciężkiego uszczerbku na zdrowiu, a nie przewidywał, że doprowadzi do zgonu pokrzywdzonego.</w:t>
      </w:r>
    </w:p>
    <w:p w14:paraId="49F55D56" w14:textId="77777777" w:rsidR="004B013B" w:rsidRDefault="00000000">
      <w:pPr>
        <w:spacing w:before="164" w:after="0"/>
      </w:pPr>
      <w:r>
        <w:rPr>
          <w:b/>
          <w:color w:val="000000"/>
        </w:rPr>
        <w:t>Sentencja</w:t>
      </w:r>
    </w:p>
    <w:p w14:paraId="650A7E10" w14:textId="77777777" w:rsidR="004B013B" w:rsidRDefault="00000000">
      <w:pPr>
        <w:spacing w:before="25" w:after="0"/>
      </w:pPr>
      <w:r>
        <w:rPr>
          <w:color w:val="000000"/>
        </w:rPr>
        <w:t xml:space="preserve">Sąd Apelacyjny w Poznaniu, w II Wydziale Karnym po rozpoznaniu na rozprawie w dniu 22 maja 2024 r. sprawy M. I. oskarżonego o przestępstwo z </w:t>
      </w:r>
      <w:r>
        <w:rPr>
          <w:color w:val="1B1B1B"/>
        </w:rPr>
        <w:t>art. 13 § 1</w:t>
      </w:r>
      <w:r>
        <w:rPr>
          <w:color w:val="000000"/>
        </w:rPr>
        <w:t xml:space="preserve"> k.k. w zw. z </w:t>
      </w:r>
      <w:r>
        <w:rPr>
          <w:color w:val="1B1B1B"/>
        </w:rPr>
        <w:t>art. 148 § 1</w:t>
      </w:r>
      <w:r>
        <w:rPr>
          <w:color w:val="000000"/>
        </w:rPr>
        <w:t xml:space="preserve"> k.k. i </w:t>
      </w:r>
      <w:r>
        <w:rPr>
          <w:color w:val="1B1B1B"/>
        </w:rPr>
        <w:t>art. 156 § 1 pkt 2</w:t>
      </w:r>
      <w:r>
        <w:rPr>
          <w:color w:val="000000"/>
        </w:rPr>
        <w:t xml:space="preserve"> k.k. w zw. z </w:t>
      </w:r>
      <w:r>
        <w:rPr>
          <w:color w:val="1B1B1B"/>
        </w:rPr>
        <w:t>art. 11 § 2</w:t>
      </w:r>
      <w:r>
        <w:rPr>
          <w:color w:val="000000"/>
        </w:rPr>
        <w:t xml:space="preserve"> k.k. na skutek apelacji wniesionych przez prokuratora oraz przez obrońcę oskarżonego od wyroku Sądu Okręgowego w Z. z dnia (...)</w:t>
      </w:r>
    </w:p>
    <w:p w14:paraId="5E931323" w14:textId="77777777" w:rsidR="004B013B" w:rsidRDefault="00000000">
      <w:pPr>
        <w:spacing w:before="25" w:after="0"/>
      </w:pPr>
      <w:r>
        <w:rPr>
          <w:color w:val="000000"/>
        </w:rPr>
        <w:t xml:space="preserve">I. Zmienia zaskarżony wyrok w ten sposób, że oskarżonego M. I. uznaje za winnego dokonania zarzucanego mu czynu z </w:t>
      </w:r>
      <w:r>
        <w:rPr>
          <w:color w:val="1B1B1B"/>
        </w:rPr>
        <w:t>art. 13 § 1</w:t>
      </w:r>
      <w:r>
        <w:rPr>
          <w:color w:val="000000"/>
        </w:rPr>
        <w:t xml:space="preserve"> k.k. w zw. z </w:t>
      </w:r>
      <w:r>
        <w:rPr>
          <w:color w:val="1B1B1B"/>
        </w:rPr>
        <w:t>art. 148 § 1</w:t>
      </w:r>
      <w:r>
        <w:rPr>
          <w:color w:val="000000"/>
        </w:rPr>
        <w:t xml:space="preserve"> k.k. w </w:t>
      </w:r>
      <w:proofErr w:type="spellStart"/>
      <w:r>
        <w:rPr>
          <w:color w:val="000000"/>
        </w:rPr>
        <w:t>zb.</w:t>
      </w:r>
      <w:proofErr w:type="spellEnd"/>
      <w:r>
        <w:rPr>
          <w:color w:val="000000"/>
        </w:rPr>
        <w:t xml:space="preserve"> z </w:t>
      </w:r>
      <w:r>
        <w:rPr>
          <w:color w:val="1B1B1B"/>
        </w:rPr>
        <w:t>art. 156 § 1 pkt 2</w:t>
      </w:r>
      <w:r>
        <w:rPr>
          <w:color w:val="000000"/>
        </w:rPr>
        <w:t xml:space="preserve"> k.k. w zw. z </w:t>
      </w:r>
      <w:r>
        <w:rPr>
          <w:color w:val="1B1B1B"/>
        </w:rPr>
        <w:t>art. 11 § 2</w:t>
      </w:r>
      <w:r>
        <w:rPr>
          <w:color w:val="000000"/>
        </w:rPr>
        <w:t xml:space="preserve"> k.k. w zw. z </w:t>
      </w:r>
      <w:r>
        <w:rPr>
          <w:color w:val="1B1B1B"/>
        </w:rPr>
        <w:t>art. 4 § 1</w:t>
      </w:r>
      <w:r>
        <w:rPr>
          <w:color w:val="000000"/>
        </w:rPr>
        <w:t xml:space="preserve"> k.k. popełnionego w sposób opisany w akcie oskarżenia i za przestępstwo to na podstawie </w:t>
      </w:r>
      <w:r>
        <w:rPr>
          <w:color w:val="1B1B1B"/>
        </w:rPr>
        <w:t>art. 14 § 1</w:t>
      </w:r>
      <w:r>
        <w:rPr>
          <w:color w:val="000000"/>
        </w:rPr>
        <w:t xml:space="preserve"> k.k. w zw. z </w:t>
      </w:r>
      <w:r>
        <w:rPr>
          <w:color w:val="1B1B1B"/>
        </w:rPr>
        <w:t>art. 148 § 1</w:t>
      </w:r>
      <w:r>
        <w:rPr>
          <w:color w:val="000000"/>
        </w:rPr>
        <w:t xml:space="preserve"> k.k. w zw. z </w:t>
      </w:r>
      <w:r>
        <w:rPr>
          <w:color w:val="1B1B1B"/>
        </w:rPr>
        <w:t>art. 11 § 3</w:t>
      </w:r>
      <w:r>
        <w:rPr>
          <w:color w:val="000000"/>
        </w:rPr>
        <w:t xml:space="preserve"> k.k. w zw. z </w:t>
      </w:r>
      <w:r>
        <w:rPr>
          <w:color w:val="1B1B1B"/>
        </w:rPr>
        <w:t>art. 60 § 2</w:t>
      </w:r>
      <w:r>
        <w:rPr>
          <w:color w:val="000000"/>
        </w:rPr>
        <w:t xml:space="preserve"> i </w:t>
      </w:r>
      <w:r>
        <w:rPr>
          <w:color w:val="1B1B1B"/>
        </w:rPr>
        <w:t>§ 6 pkt 2</w:t>
      </w:r>
      <w:r>
        <w:rPr>
          <w:color w:val="000000"/>
        </w:rPr>
        <w:t xml:space="preserve"> k.k. wymierza mu karę 5 (pięciu) lat pozbawienia wolności.</w:t>
      </w:r>
    </w:p>
    <w:p w14:paraId="4B521210" w14:textId="77777777" w:rsidR="004B013B" w:rsidRDefault="00000000">
      <w:pPr>
        <w:spacing w:before="25" w:after="0"/>
      </w:pPr>
      <w:r>
        <w:rPr>
          <w:color w:val="000000"/>
        </w:rPr>
        <w:t>II. Utrzymuje w mocy zaskarżony wyrok w pozostałej części.</w:t>
      </w:r>
    </w:p>
    <w:p w14:paraId="268BBC51" w14:textId="77777777" w:rsidR="004B013B" w:rsidRDefault="00000000">
      <w:pPr>
        <w:spacing w:before="25" w:after="0"/>
      </w:pPr>
      <w:r>
        <w:rPr>
          <w:color w:val="000000"/>
        </w:rPr>
        <w:t>III. Zwalnia oskarżonego w całości od zapłaty na rzecz Skarbu Państwa kosztów sądowych za postępowanie odwoławcze.</w:t>
      </w:r>
    </w:p>
    <w:tbl>
      <w:tblPr>
        <w:tblW w:w="0" w:type="auto"/>
        <w:tblCellSpacing w:w="0" w:type="auto"/>
        <w:tblInd w:w="2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22"/>
        <w:gridCol w:w="8224"/>
      </w:tblGrid>
      <w:tr w:rsidR="004B013B" w14:paraId="32CEFB9C" w14:textId="77777777" w:rsidTr="00F93336">
        <w:trPr>
          <w:trHeight w:val="45"/>
          <w:tblCellSpacing w:w="0" w:type="auto"/>
        </w:trPr>
        <w:tc>
          <w:tcPr>
            <w:tcW w:w="0" w:type="auto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28635B" w14:textId="77777777" w:rsidR="004B013B" w:rsidRDefault="004B013B" w:rsidP="00F93336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87FE3" w14:textId="77777777" w:rsidR="004B013B" w:rsidRDefault="00000000">
            <w:pPr>
              <w:spacing w:before="25" w:after="0"/>
            </w:pPr>
            <w:r>
              <w:rPr>
                <w:i/>
                <w:color w:val="000000"/>
              </w:rPr>
              <w:t>Zwięźle o powodach uznania zarzutu za zasadny, częściowo zasadny albo niezasadny</w:t>
            </w:r>
          </w:p>
        </w:tc>
      </w:tr>
    </w:tbl>
    <w:p w14:paraId="26F13005" w14:textId="77777777" w:rsidR="006422B7" w:rsidRDefault="006422B7"/>
    <w:sectPr w:rsidR="006422B7">
      <w:footerReference w:type="even" r:id="rId6"/>
      <w:footerReference w:type="default" r:id="rId7"/>
      <w:pgSz w:w="11907" w:h="16839" w:code="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1E9CD7" w14:textId="77777777" w:rsidR="006422B7" w:rsidRDefault="006422B7" w:rsidP="00DC0577">
      <w:pPr>
        <w:spacing w:after="0" w:line="240" w:lineRule="auto"/>
      </w:pPr>
      <w:r>
        <w:separator/>
      </w:r>
    </w:p>
  </w:endnote>
  <w:endnote w:type="continuationSeparator" w:id="0">
    <w:p w14:paraId="57727A3F" w14:textId="77777777" w:rsidR="006422B7" w:rsidRDefault="006422B7" w:rsidP="00DC0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strony"/>
      </w:rPr>
      <w:id w:val="-1048458026"/>
      <w:docPartObj>
        <w:docPartGallery w:val="Page Numbers (Bottom of Page)"/>
        <w:docPartUnique/>
      </w:docPartObj>
    </w:sdtPr>
    <w:sdtContent>
      <w:p w14:paraId="27944B76" w14:textId="7EC4D8E0" w:rsidR="00DC0577" w:rsidRDefault="00DC0577" w:rsidP="00164C0E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1545888D" w14:textId="77777777" w:rsidR="00DC0577" w:rsidRDefault="00DC0577" w:rsidP="00DC057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strony"/>
      </w:rPr>
      <w:id w:val="-438601401"/>
      <w:docPartObj>
        <w:docPartGallery w:val="Page Numbers (Bottom of Page)"/>
        <w:docPartUnique/>
      </w:docPartObj>
    </w:sdtPr>
    <w:sdtContent>
      <w:p w14:paraId="22B0C725" w14:textId="32BA0DD3" w:rsidR="00DC0577" w:rsidRDefault="00DC0577" w:rsidP="00164C0E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2</w:t>
        </w:r>
        <w:r>
          <w:rPr>
            <w:rStyle w:val="Numerstrony"/>
          </w:rPr>
          <w:fldChar w:fldCharType="end"/>
        </w:r>
      </w:p>
    </w:sdtContent>
  </w:sdt>
  <w:p w14:paraId="4CDBAE0B" w14:textId="77777777" w:rsidR="00DC0577" w:rsidRDefault="00DC0577" w:rsidP="00DC057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A06CDA" w14:textId="77777777" w:rsidR="006422B7" w:rsidRDefault="006422B7" w:rsidP="00DC0577">
      <w:pPr>
        <w:spacing w:after="0" w:line="240" w:lineRule="auto"/>
      </w:pPr>
      <w:r>
        <w:separator/>
      </w:r>
    </w:p>
  </w:footnote>
  <w:footnote w:type="continuationSeparator" w:id="0">
    <w:p w14:paraId="415C2D1E" w14:textId="77777777" w:rsidR="006422B7" w:rsidRDefault="006422B7" w:rsidP="00DC05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useWord2013TrackBottomHyphenation" w:uri="http://schemas.microsoft.com/office/word" w:val="1"/>
  </w:compat>
  <w:rsids>
    <w:rsidRoot w:val="004B013B"/>
    <w:rsid w:val="002F708F"/>
    <w:rsid w:val="004B013B"/>
    <w:rsid w:val="006422B7"/>
    <w:rsid w:val="008D08F5"/>
    <w:rsid w:val="00DC0577"/>
    <w:rsid w:val="00F93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88CF1B"/>
  <w15:docId w15:val="{00B8BF71-47E6-2049-A0A7-2AB549906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styleId="Stopka">
    <w:name w:val="footer"/>
    <w:basedOn w:val="Normalny"/>
    <w:link w:val="StopkaZnak"/>
    <w:uiPriority w:val="99"/>
    <w:unhideWhenUsed/>
    <w:rsid w:val="00DC05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C0577"/>
    <w:rPr>
      <w:rFonts w:ascii="Times New Roman" w:eastAsia="Times New Roman" w:hAnsi="Times New Roman" w:cs="Times New Roman"/>
    </w:rPr>
  </w:style>
  <w:style w:type="character" w:styleId="Numerstrony">
    <w:name w:val="page number"/>
    <w:basedOn w:val="Domylnaczcionkaakapitu"/>
    <w:uiPriority w:val="99"/>
    <w:semiHidden/>
    <w:unhideWhenUsed/>
    <w:rsid w:val="00DC05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375</Words>
  <Characters>2256</Characters>
  <Application>Microsoft Office Word</Application>
  <DocSecurity>0</DocSecurity>
  <Lines>18</Lines>
  <Paragraphs>5</Paragraphs>
  <ScaleCrop>false</ScaleCrop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Witold Zontek</cp:lastModifiedBy>
  <cp:revision>4</cp:revision>
  <cp:lastPrinted>2024-12-17T10:35:00Z</cp:lastPrinted>
  <dcterms:created xsi:type="dcterms:W3CDTF">2024-12-17T10:15:00Z</dcterms:created>
  <dcterms:modified xsi:type="dcterms:W3CDTF">2024-12-17T10:36:00Z</dcterms:modified>
</cp:coreProperties>
</file>