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D5B114" w14:textId="77777777" w:rsidR="00521575" w:rsidRDefault="00000000">
      <w:pPr>
        <w:pStyle w:val="TitleStyle"/>
      </w:pPr>
      <w:r>
        <w:t xml:space="preserve">II KK 124/23, Kwalifikacja spowodowania śmierci w wyniku upadku i uderzenia głową o twarde podłoże - Wyrok Sądu Najwyższego </w:t>
      </w:r>
    </w:p>
    <w:p w14:paraId="4CF6FD91" w14:textId="77777777" w:rsidR="00521575" w:rsidRDefault="00000000">
      <w:pPr>
        <w:pStyle w:val="NormalStyle"/>
      </w:pPr>
      <w:r>
        <w:t>LEX nr 3666641</w:t>
      </w:r>
    </w:p>
    <w:p w14:paraId="3A6A9172" w14:textId="77777777" w:rsidR="00521575" w:rsidRDefault="00000000">
      <w:pPr>
        <w:pStyle w:val="HeaderStyle"/>
      </w:pPr>
      <w:r>
        <w:t>Wyrok</w:t>
      </w:r>
    </w:p>
    <w:p w14:paraId="255AA03A" w14:textId="77777777" w:rsidR="00521575" w:rsidRDefault="00000000">
      <w:pPr>
        <w:pStyle w:val="HeaderStyle"/>
      </w:pPr>
      <w:r>
        <w:t xml:space="preserve">Sądu Najwyższego </w:t>
      </w:r>
    </w:p>
    <w:p w14:paraId="20C1946F" w14:textId="77777777" w:rsidR="00521575" w:rsidRDefault="00000000">
      <w:pPr>
        <w:pStyle w:val="HeaderStyle"/>
      </w:pPr>
      <w:r>
        <w:t>z dnia 31 stycznia 2024 r.</w:t>
      </w:r>
    </w:p>
    <w:p w14:paraId="3D68251D" w14:textId="77777777" w:rsidR="00521575" w:rsidRDefault="00000000">
      <w:pPr>
        <w:pStyle w:val="HeaderStyle"/>
      </w:pPr>
      <w:r>
        <w:t>II KK 124/23</w:t>
      </w:r>
    </w:p>
    <w:p w14:paraId="5F64AB9D" w14:textId="77777777" w:rsidR="00521575" w:rsidRDefault="00000000">
      <w:pPr>
        <w:pStyle w:val="HeaderStyle"/>
      </w:pPr>
      <w:r>
        <w:t>Kwalifikacja spowodowania śmierci w wyniku upadku i uderzenia głową o twarde podłoże</w:t>
      </w:r>
    </w:p>
    <w:p w14:paraId="34189D52" w14:textId="77777777" w:rsidR="00521575" w:rsidRDefault="00000000">
      <w:pPr>
        <w:pStyle w:val="HeaderStyle"/>
      </w:pPr>
      <w:r>
        <w:t>TEZA aktualna</w:t>
      </w:r>
    </w:p>
    <w:p w14:paraId="2F583339" w14:textId="77777777" w:rsidR="00521575" w:rsidRDefault="00000000">
      <w:pPr>
        <w:spacing w:before="25" w:after="0"/>
      </w:pPr>
      <w:r>
        <w:rPr>
          <w:color w:val="000000"/>
        </w:rPr>
        <w:t>Nierzadkie są zdarzenia, kiedy po uderzeniu pokrzywdzony upada i uderza głową o twarde podłoże, doznając obrażeń, których skutkiem bywa nawet jego zgon. Jakkolwiek badanie odpowiedzialności sprawcy zawsze musi odbywać się na tle realiów konkretnej sprawy, to w orzecznictwie dominuje pogląd, że w takim wypadku prawidłowe jest kwalifikowanie czynu jako nieumyślnego spowodowania śmierci - art. 155 k.k., względnie nieumyślnego spowodowania uszczerbku na zdrowiu - art. 156 § 2, art. 157 § 2 k.k.</w:t>
      </w:r>
    </w:p>
    <w:p w14:paraId="0A69046A" w14:textId="233CA4B2" w:rsidR="00521575" w:rsidRDefault="00521575">
      <w:pPr>
        <w:spacing w:before="25" w:after="0"/>
      </w:pPr>
    </w:p>
    <w:p w14:paraId="79DB1D89" w14:textId="77777777" w:rsidR="00521575" w:rsidRDefault="00000000">
      <w:pPr>
        <w:spacing w:before="164" w:after="0"/>
      </w:pPr>
      <w:r>
        <w:rPr>
          <w:b/>
          <w:color w:val="000000"/>
        </w:rPr>
        <w:t>Uzasadnienie faktyczne</w:t>
      </w:r>
    </w:p>
    <w:p w14:paraId="66091876" w14:textId="77777777" w:rsidR="00521575" w:rsidRDefault="00000000">
      <w:pPr>
        <w:spacing w:before="25" w:after="0"/>
      </w:pPr>
      <w:r>
        <w:rPr>
          <w:color w:val="000000"/>
        </w:rPr>
        <w:t xml:space="preserve">Sąd Okręgowy Warszawa-Praga w Warszawie wyrokiem z dnia 22 września 2021 r., sygn. akt V K 39/21, uznał G. J. za winnego tego, że w dniu 24 listopada 2020 r. w </w:t>
      </w:r>
      <w:proofErr w:type="spellStart"/>
      <w:r>
        <w:rPr>
          <w:color w:val="000000"/>
        </w:rPr>
        <w:t>W</w:t>
      </w:r>
      <w:proofErr w:type="spellEnd"/>
      <w:r>
        <w:rPr>
          <w:color w:val="000000"/>
        </w:rPr>
        <w:t xml:space="preserve">. spowodował ciężki uszczerbek na zdrowiu T. O. w postaci choroby realnie zagrażającej jego życiu poprzez silne uderzenie pięścią w twarz, w następstwie czego doszło do upadku pokrzywdzonego i uderzenia potylicą o twarde podłoże, powodując tym obrażenia ciała w postaci urazu czaszkowo-mózgowego ze stłuczeniem mózgu, krwiakami śródmózgowymi, złamanie kości potylicznej i kości podstawy czaszki, otarcie okolicy potylicznej, złamanie żuchwy i kości klinowej po prawej stronie oraz zwichnięcie w stawie barkowym i złamanie kości ramiennej prawej - tj. czynu z </w:t>
      </w:r>
      <w:r>
        <w:rPr>
          <w:color w:val="1B1B1B"/>
        </w:rPr>
        <w:t>art. 156 § 1 pkt 2</w:t>
      </w:r>
      <w:r>
        <w:rPr>
          <w:color w:val="000000"/>
        </w:rPr>
        <w:t xml:space="preserve"> k.k. i wymierzył mu karę 3 lat pozbawienia wolności, zaliczając oskarżonemu na jej poczet okres rzeczywistego pozbawienia wolności w sprawie od dnia 11 lutego 2021 r. godz. 06:30 do dnia 22 września 2021 r. Zasądził od oskarżonego na rzecz oskarżyciela posiłkowego T. O. kwotę 30.000 zł tytułem zadośćuczynienia za doznaną krzywdę, a na rzecz Skarbu Państwa koszty sądowe, w tym kwotę 400 zł tytułem opłaty.</w:t>
      </w:r>
    </w:p>
    <w:p w14:paraId="05FC6546" w14:textId="77777777" w:rsidR="00521575" w:rsidRDefault="00000000">
      <w:pPr>
        <w:spacing w:before="25" w:after="0"/>
      </w:pPr>
      <w:r>
        <w:rPr>
          <w:color w:val="000000"/>
        </w:rPr>
        <w:t xml:space="preserve">Po rozpoznaniu apelacji obrońcy oskarżonego G. J., w której zarzucono obrazę przepisów prawa materialnego w zakresie kwalifikacji prawnej czynu przypisanego oskarżonemu, polegającej na niezastosowaniu </w:t>
      </w:r>
      <w:r>
        <w:rPr>
          <w:color w:val="1B1B1B"/>
        </w:rPr>
        <w:t>art. 25 § 1</w:t>
      </w:r>
      <w:r>
        <w:rPr>
          <w:color w:val="000000"/>
        </w:rPr>
        <w:t xml:space="preserve"> k.k., Sąd Apelacyjny w Warszawie wyrokiem z dnia 20 czerwca 2022 r., sygn. akt II </w:t>
      </w:r>
      <w:proofErr w:type="spellStart"/>
      <w:r>
        <w:rPr>
          <w:color w:val="000000"/>
        </w:rPr>
        <w:t>AKa</w:t>
      </w:r>
      <w:proofErr w:type="spellEnd"/>
      <w:r>
        <w:rPr>
          <w:color w:val="000000"/>
        </w:rPr>
        <w:t xml:space="preserve"> 515/21, zaskarżony wyrok utrzymał w mocy.</w:t>
      </w:r>
    </w:p>
    <w:p w14:paraId="1A5E52EB" w14:textId="5E619DF3" w:rsidR="00521575" w:rsidRDefault="001533DB">
      <w:pPr>
        <w:spacing w:before="25" w:after="0"/>
      </w:pPr>
      <w:r>
        <w:rPr>
          <w:color w:val="000000"/>
        </w:rPr>
        <w:t>(…)</w:t>
      </w:r>
    </w:p>
    <w:p w14:paraId="2F9FB54C" w14:textId="77777777" w:rsidR="00521575" w:rsidRDefault="00000000">
      <w:pPr>
        <w:spacing w:before="164" w:after="0"/>
      </w:pPr>
      <w:r>
        <w:rPr>
          <w:b/>
          <w:color w:val="000000"/>
        </w:rPr>
        <w:t>Uzasadnienie prawne</w:t>
      </w:r>
    </w:p>
    <w:p w14:paraId="1CFAF9BB" w14:textId="77777777" w:rsidR="00521575" w:rsidRDefault="00000000">
      <w:pPr>
        <w:spacing w:before="25" w:after="0"/>
      </w:pPr>
      <w:r>
        <w:rPr>
          <w:color w:val="000000"/>
        </w:rPr>
        <w:t>Sąd Najwyższy zważył, co następuje.</w:t>
      </w:r>
    </w:p>
    <w:p w14:paraId="25F31A2F" w14:textId="77777777" w:rsidR="001533DB" w:rsidRDefault="001533DB">
      <w:pPr>
        <w:spacing w:before="25" w:after="0"/>
        <w:rPr>
          <w:color w:val="000000"/>
        </w:rPr>
      </w:pPr>
    </w:p>
    <w:p w14:paraId="7F525211" w14:textId="77777777" w:rsidR="001533DB" w:rsidRDefault="001533DB">
      <w:pPr>
        <w:spacing w:before="25" w:after="0"/>
        <w:rPr>
          <w:color w:val="000000"/>
        </w:rPr>
      </w:pPr>
      <w:r>
        <w:rPr>
          <w:color w:val="000000"/>
        </w:rPr>
        <w:t>(…)</w:t>
      </w:r>
    </w:p>
    <w:p w14:paraId="2A2E7EFD" w14:textId="77777777" w:rsidR="001533DB" w:rsidRDefault="001533DB">
      <w:pPr>
        <w:spacing w:before="25" w:after="0"/>
        <w:rPr>
          <w:color w:val="000000"/>
        </w:rPr>
      </w:pPr>
    </w:p>
    <w:p w14:paraId="4C9F2991" w14:textId="142352DC" w:rsidR="00521575" w:rsidRDefault="00000000">
      <w:pPr>
        <w:spacing w:before="25" w:after="0"/>
      </w:pPr>
      <w:r>
        <w:rPr>
          <w:color w:val="000000"/>
        </w:rPr>
        <w:t>Ta konstatacja znajduje uzasadnienie w sformułowaniach mówiących o błędnym przyjęciu (tj. ustaleniu), że zastosowany przez skazanego sposób odparcia ataku wyłącza możliwość zakwalifikowania jego działania jako obrony koniecznej, przekonywaniu, że skazany działał jedynie w celu odparcia zamachu na jego zdrowie lub życie oraz że jego zachowanie nie mogło stanowić części wzajemnego ataku, gdyż inicjatorem ataku był pokrzywdzony. Natomiast w części motywacyjnej skargi jej autor przekonywał, znowu nawiązując do ustaleń faktycznych, że inaczej niż przyjęły orzekające w sprawie sądy, "</w:t>
      </w:r>
      <w:proofErr w:type="gramStart"/>
      <w:r>
        <w:rPr>
          <w:color w:val="000000"/>
        </w:rPr>
        <w:t>zdarzenie</w:t>
      </w:r>
      <w:proofErr w:type="gramEnd"/>
      <w:r>
        <w:rPr>
          <w:color w:val="000000"/>
        </w:rPr>
        <w:t xml:space="preserve"> które było przedmiotem ustaleń faktycznych, dzieli się na trzy etapy, które powinny zostać odrębnie a nie łącznie, ocenione i prawnie zakwalifikowane".</w:t>
      </w:r>
    </w:p>
    <w:p w14:paraId="110A7B9E" w14:textId="77777777" w:rsidR="00521575" w:rsidRDefault="00000000">
      <w:pPr>
        <w:spacing w:before="25" w:after="0"/>
      </w:pPr>
      <w:r>
        <w:rPr>
          <w:color w:val="000000"/>
        </w:rPr>
        <w:t xml:space="preserve">Ogląd sprawy nasuwa też spostrzeżenie, że w sytuacji, gdy w apelacji nie został postawiony zarzut błędu w ustaleniach faktycznych co do strony podmiotowej przestępstwa, konkretnie zamiaru z jakim działał oskarżony, Sąd odwoławczy mając w polu widzenia treść </w:t>
      </w:r>
      <w:r>
        <w:rPr>
          <w:color w:val="1B1B1B"/>
        </w:rPr>
        <w:t>art. 440</w:t>
      </w:r>
      <w:r>
        <w:rPr>
          <w:color w:val="000000"/>
        </w:rPr>
        <w:t xml:space="preserve"> k.p.k., powinien tej kwestii poświęcić należytą uwagę. Rysuje się ona jako </w:t>
      </w:r>
      <w:proofErr w:type="gramStart"/>
      <w:r>
        <w:rPr>
          <w:color w:val="000000"/>
        </w:rPr>
        <w:t>nader</w:t>
      </w:r>
      <w:proofErr w:type="gramEnd"/>
      <w:r>
        <w:rPr>
          <w:color w:val="000000"/>
        </w:rPr>
        <w:t xml:space="preserve"> ważna w sytuacji, gdy Sąd I instancji przyjął, że "oskarżony G. J. umyślnie zrealizował znamiona typu podstawowego, o którym mowa w </w:t>
      </w:r>
      <w:r>
        <w:rPr>
          <w:color w:val="1B1B1B"/>
        </w:rPr>
        <w:t>art. 156 § 1 pkt 2</w:t>
      </w:r>
      <w:r>
        <w:rPr>
          <w:color w:val="000000"/>
        </w:rPr>
        <w:t xml:space="preserve"> k.k. Oskarżony zadał bowiem T. O. silny cios pięścią w twarz, który spowodował u pokrzywdzonego złamanie żuchwy i kości klinowej po prawej stronie, a następnie upadek ww. i uderzenie przez niego potylicą o twarde podłoże. Na skutek upadku i uderzenia głową w asfalt T. O. doznał nadto obrażeń ciała w postaci: urazu czaszkowo-mózgowego ze stłuczeniem mózgu, krwiakami śródmózgowymi, złamaniem kości potylicznej i kości podstawy czaszki, otarcia okolicy potylicznej oraz zwichnięcia w stawie barkowym i złamania kości ramiennej prawej. W świetle opinii sądowo-lekarskiej sporządzonej na potrzeby niniejszego postępowania nie budzi wątpliwości, że obrażenia w obrębie głowy, tj. uraz czaszkowo-mózgowy ze stłuczeniem mózgu, krwiakami śródmózgowymi i złamaniem podstawy czaszki, spowodowane przez G. J. skutkowały ciężkim uszczerbkiem na zdrowiu pokrzywdzonego w postaci choroby realnie zagrażającej życiu, tj. w rozumieniu </w:t>
      </w:r>
      <w:r>
        <w:rPr>
          <w:color w:val="1B1B1B"/>
        </w:rPr>
        <w:t>art. 156 § 1 pkt 2</w:t>
      </w:r>
      <w:r>
        <w:rPr>
          <w:color w:val="000000"/>
        </w:rPr>
        <w:t xml:space="preserve"> k.k. Pozostałe obrażenia, w ocenie biegłego sądowego, skutkowały rozstrojem zdrowia i naruszeniem funkcji narządu ciała na okres powyżej siedmiu dni, w rozumieniu </w:t>
      </w:r>
      <w:r>
        <w:rPr>
          <w:color w:val="1B1B1B"/>
        </w:rPr>
        <w:t>art. 157 § 1</w:t>
      </w:r>
      <w:r>
        <w:rPr>
          <w:color w:val="000000"/>
        </w:rPr>
        <w:t xml:space="preserve"> k.k. Spowodowanie opisanych we wskazanej opinii obrażeń ciała na skutek silnego uderzenia pokrzywdzonego pięścią w twarz było, zdaniem Sądu, objęte umyślnością ze strony oskarżonego. O umyślności w działaniu oskarżonego świadczy bowiem skierowanie ataku na głowę pokrzywdzonego z niewielkiej odległości oraz jego duża siła. (...). Mając na względzie powyższe rozważania, Sąd Okręgowy uznał, że oskarżony działał umyślnie z zamiarem ewentualnym (to stwierdzenie należało zamieścić w wyroku - </w:t>
      </w:r>
      <w:proofErr w:type="spellStart"/>
      <w:r>
        <w:rPr>
          <w:color w:val="000000"/>
        </w:rPr>
        <w:t>uw</w:t>
      </w:r>
      <w:proofErr w:type="spellEnd"/>
      <w:r>
        <w:rPr>
          <w:color w:val="000000"/>
        </w:rPr>
        <w:t xml:space="preserve">. SN) spowodowania u pokrzywdzonego skutków, o których mowa w </w:t>
      </w:r>
      <w:r>
        <w:rPr>
          <w:color w:val="1B1B1B"/>
        </w:rPr>
        <w:t>art. 156 § 1 pkt 2</w:t>
      </w:r>
      <w:r>
        <w:rPr>
          <w:color w:val="000000"/>
        </w:rPr>
        <w:t xml:space="preserve"> k.k., zważywszy w szczególności - co podkreślono już powyżej - na miejsce skierowania ciosu i jego siłę (złamanie żuchwy i kości klinowej po prawej stronie)". Jest widoczne, że nie dość wnikliwie rozważono, czy tak jak umyślnie oskarżony spowodował u pokrzywdzonego obrażenia ciała w wyniku uderzenia go pięścią w twarz - złamanie żuchwy i kości klinowej, które skutkowały rozstrojem zdrowia i naruszeniem funkcji narządu ciała na okres powyżej siedmiu dni, równie umyślnie </w:t>
      </w:r>
      <w:r>
        <w:rPr>
          <w:color w:val="000000"/>
        </w:rPr>
        <w:lastRenderedPageBreak/>
        <w:t xml:space="preserve">spowodował u niego te obrażenia, które zaistniały w wyniku upadku pokrzywdzonego i uderzenia głową o twarde podłoże, tj. uraz czaszkowo-mózgowy ze stłuczeniem mózgu, krwiakami śródmózgowymi i złamaniem podstawy czaszki, uznany za chorobę realnie zagrażającą życiu. Wypada przyjąć, że zaprezentowane przez Sąd </w:t>
      </w:r>
      <w:proofErr w:type="spellStart"/>
      <w:r>
        <w:rPr>
          <w:color w:val="000000"/>
        </w:rPr>
        <w:t>meriti</w:t>
      </w:r>
      <w:proofErr w:type="spellEnd"/>
      <w:r>
        <w:rPr>
          <w:color w:val="000000"/>
        </w:rPr>
        <w:t xml:space="preserve"> podejście do zagadnienia skutkowałoby przypisaniem oskarżonemu zabójstwa, gdyby skutkiem wspomnianego urazu była śmierć pokrzywdzonego.</w:t>
      </w:r>
    </w:p>
    <w:p w14:paraId="3FF3FE74" w14:textId="02F15BE9" w:rsidR="00521575" w:rsidRDefault="00000000" w:rsidP="001533DB">
      <w:pPr>
        <w:spacing w:before="25" w:after="0"/>
      </w:pPr>
      <w:r>
        <w:rPr>
          <w:color w:val="000000"/>
        </w:rPr>
        <w:t xml:space="preserve">Nierzadkie są zdarzenia, kiedy po uderzeniu pokrzywdzony upada i uderza głową o twarde podłoże, doznając obrażeń, których skutkiem bywa nawet jego zgon. Jakkolwiek badanie odpowiedzialności sprawcy zawsze musi odbywać się na tle realiów konkretnej sprawy, to w orzecznictwie dominuje pogląd, że w takim wypadku prawidłowe jest kwalifikowanie czynu jako nieumyślnego spowodowania śmierci - </w:t>
      </w:r>
      <w:r>
        <w:rPr>
          <w:color w:val="1B1B1B"/>
        </w:rPr>
        <w:t>art. 155</w:t>
      </w:r>
      <w:r>
        <w:rPr>
          <w:color w:val="000000"/>
        </w:rPr>
        <w:t xml:space="preserve"> k.k., względnie nieumyślnego spowodowania uszczerbku na zdrowiu - </w:t>
      </w:r>
      <w:r>
        <w:rPr>
          <w:color w:val="1B1B1B"/>
        </w:rPr>
        <w:t>art. 156 § 2</w:t>
      </w:r>
      <w:r>
        <w:rPr>
          <w:color w:val="000000"/>
        </w:rPr>
        <w:t xml:space="preserve"> k.k., </w:t>
      </w:r>
      <w:r>
        <w:rPr>
          <w:color w:val="1B1B1B"/>
        </w:rPr>
        <w:t>art. 157 § 2</w:t>
      </w:r>
      <w:r>
        <w:rPr>
          <w:color w:val="000000"/>
        </w:rPr>
        <w:t xml:space="preserve"> k.k. (zob. wyrok Sądu Apelacyjnego w Krakowie z dnia 29 maja 2007 r. </w:t>
      </w:r>
      <w:r>
        <w:rPr>
          <w:color w:val="1B1B1B"/>
        </w:rPr>
        <w:t xml:space="preserve">II </w:t>
      </w:r>
      <w:proofErr w:type="spellStart"/>
      <w:r>
        <w:rPr>
          <w:color w:val="1B1B1B"/>
        </w:rPr>
        <w:t>AKa</w:t>
      </w:r>
      <w:proofErr w:type="spellEnd"/>
      <w:r>
        <w:rPr>
          <w:color w:val="1B1B1B"/>
        </w:rPr>
        <w:t xml:space="preserve"> 81/07</w:t>
      </w:r>
      <w:r>
        <w:rPr>
          <w:color w:val="000000"/>
        </w:rPr>
        <w:t xml:space="preserve">). Wskazuje się, że "umyślne jest bowiem tylko zachowanie polegające na uderzeniu w głowę (twarz); tylko obrażenia stąd powstałe (...) są objęte taką postacią winy. Ciężkie obrażenia ciała prowadzące do śmierci są tu pochodną upadku i uderzenia ofiary głową o twarde podłoże" </w:t>
      </w:r>
      <w:r w:rsidR="001533DB">
        <w:rPr>
          <w:color w:val="000000"/>
        </w:rPr>
        <w:t>(…)</w:t>
      </w:r>
      <w:r>
        <w:rPr>
          <w:color w:val="000000"/>
        </w:rPr>
        <w:t xml:space="preserve">. Stosownie do poczynionych w sprawie ustaleń faktycznych nie jest wykluczona kumulatywna kwalifikacja czynu, gdy strona podmiotowa czynu ma charakter mieszany (zob. postanowienie Sądu Najwyższego z dnia 23 listopada 2011 r., </w:t>
      </w:r>
      <w:r>
        <w:rPr>
          <w:color w:val="1B1B1B"/>
        </w:rPr>
        <w:t>V KK 220/11</w:t>
      </w:r>
      <w:r>
        <w:rPr>
          <w:color w:val="000000"/>
        </w:rPr>
        <w:t>).</w:t>
      </w:r>
    </w:p>
    <w:p w14:paraId="0E7580DC" w14:textId="77777777" w:rsidR="00521575" w:rsidRDefault="00000000">
      <w:pPr>
        <w:spacing w:before="25" w:after="0"/>
      </w:pPr>
      <w:r>
        <w:rPr>
          <w:color w:val="000000"/>
        </w:rPr>
        <w:t xml:space="preserve">Dodatkowo nasuwa się uwaga, że w niniejszej sprawie Sąd Apelacyjny nie wyciągnął wniosku z własnego spostrzeżenia, iż oskarżony "godził się na nastąpienie skutku w postaci przewrócenia się pokrzywdzonego i uderzenia o twarde podłoże (z uwagi na miejsce zdarzenia)". Zdaje się bowiem z tego wynikać, że nie było podstaw do uznania, iż godził się na dalej idący skutek w postaci doznania przez pokrzywdzonego choroby realnie zagrażającej życiu w postaci uraz </w:t>
      </w:r>
      <w:proofErr w:type="spellStart"/>
      <w:r>
        <w:rPr>
          <w:color w:val="000000"/>
        </w:rPr>
        <w:t>czaszkowomózgowego</w:t>
      </w:r>
      <w:proofErr w:type="spellEnd"/>
      <w:r>
        <w:rPr>
          <w:color w:val="000000"/>
        </w:rPr>
        <w:t>, zwłaszcza że nie jest to typowy skutek upadku człowieka nawet na twarde podłoże.</w:t>
      </w:r>
    </w:p>
    <w:p w14:paraId="4CDD2DCB" w14:textId="77777777" w:rsidR="00521575" w:rsidRDefault="00000000">
      <w:pPr>
        <w:spacing w:before="25" w:after="0"/>
      </w:pPr>
      <w:r>
        <w:rPr>
          <w:color w:val="000000"/>
        </w:rPr>
        <w:t>Z tych wszystkich powodów Sąd Najwyższy uchylił zaskarżony wyrok i przekazał sprawę do ponownego rozpoznania Sądowi Apelacyjnemu w Warszawie, który w toku procedowania uwzględni poczynione wyżej uwagi.</w:t>
      </w:r>
    </w:p>
    <w:p w14:paraId="5C32B596" w14:textId="77777777" w:rsidR="00521575" w:rsidRDefault="00000000">
      <w:pPr>
        <w:spacing w:before="25" w:after="0"/>
      </w:pPr>
      <w:r>
        <w:rPr>
          <w:color w:val="000000"/>
        </w:rPr>
        <w:t xml:space="preserve">Rozstrzygnięcie w przedmiocie kosztów obrony z urzędu, o zasądzenie których wnosił obrońca skazanego, znajduje oparcie w </w:t>
      </w:r>
      <w:r>
        <w:rPr>
          <w:color w:val="1B1B1B"/>
        </w:rPr>
        <w:t>§ 17 ust. 2 pkt 6</w:t>
      </w:r>
      <w:r>
        <w:rPr>
          <w:color w:val="000000"/>
        </w:rPr>
        <w:t xml:space="preserve"> i </w:t>
      </w:r>
      <w:r>
        <w:rPr>
          <w:color w:val="1B1B1B"/>
        </w:rPr>
        <w:t>ust. 3 pkt 2</w:t>
      </w:r>
      <w:r>
        <w:rPr>
          <w:color w:val="000000"/>
        </w:rPr>
        <w:t xml:space="preserve"> oraz </w:t>
      </w:r>
      <w:r>
        <w:rPr>
          <w:color w:val="1B1B1B"/>
        </w:rPr>
        <w:t>§ 4 ust. 3</w:t>
      </w:r>
      <w:r>
        <w:rPr>
          <w:color w:val="000000"/>
        </w:rPr>
        <w:t xml:space="preserve"> rozporządzenia Ministra Sprawiedliwości z dnia 3 października 2016 r. w sprawie ponoszenia przez Skarb Państwa kosztów nieopłaconej pomocy prawnej udzielonej przez adwokata z urzędu (</w:t>
      </w:r>
      <w:proofErr w:type="spellStart"/>
      <w:r>
        <w:rPr>
          <w:color w:val="000000"/>
        </w:rPr>
        <w:t>t.j</w:t>
      </w:r>
      <w:proofErr w:type="spellEnd"/>
      <w:r>
        <w:rPr>
          <w:color w:val="000000"/>
        </w:rPr>
        <w:t>. Dz. U. z 2019 r. poz. 18).</w:t>
      </w:r>
    </w:p>
    <w:p w14:paraId="206D2A77" w14:textId="77777777" w:rsidR="00521575" w:rsidRDefault="00000000">
      <w:pPr>
        <w:spacing w:before="25" w:after="0"/>
      </w:pPr>
      <w:r>
        <w:rPr>
          <w:color w:val="000000"/>
        </w:rPr>
        <w:t>[PGW]</w:t>
      </w:r>
    </w:p>
    <w:sectPr w:rsidR="00521575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useWord2013TrackBottomHyphenation" w:uri="http://schemas.microsoft.com/office/word" w:val="1"/>
  </w:compat>
  <w:rsids>
    <w:rsidRoot w:val="00521575"/>
    <w:rsid w:val="001533DB"/>
    <w:rsid w:val="002F708F"/>
    <w:rsid w:val="00521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4186770"/>
  <w15:docId w15:val="{00B8BF71-47E6-2049-A0A7-2AB549906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1212</Words>
  <Characters>7274</Characters>
  <Application>Microsoft Office Word</Application>
  <DocSecurity>0</DocSecurity>
  <Lines>60</Lines>
  <Paragraphs>16</Paragraphs>
  <ScaleCrop>false</ScaleCrop>
  <Company/>
  <LinksUpToDate>false</LinksUpToDate>
  <CharactersWithSpaces>8470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Witold Zontek</cp:lastModifiedBy>
  <cp:revision>2</cp:revision>
  <dcterms:created xsi:type="dcterms:W3CDTF">2024-12-17T10:10:00Z</dcterms:created>
  <dcterms:modified xsi:type="dcterms:W3CDTF">2024-12-17T10:13:00Z</dcterms:modified>
</cp:coreProperties>
</file>