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29B894" w14:textId="77777777" w:rsidR="00067514" w:rsidRDefault="00000000">
      <w:pPr>
        <w:pStyle w:val="TitleStyle"/>
      </w:pPr>
      <w:r>
        <w:t xml:space="preserve">V KK 518/20, Istota zamiaru ewentualnego - Wyrok Sądu Najwyższego </w:t>
      </w:r>
    </w:p>
    <w:p w14:paraId="699AE632" w14:textId="77777777" w:rsidR="00067514" w:rsidRDefault="00000000">
      <w:pPr>
        <w:pStyle w:val="NormalStyle"/>
      </w:pPr>
      <w:r>
        <w:t>LEX nr 3433625</w:t>
      </w:r>
    </w:p>
    <w:p w14:paraId="767E0399" w14:textId="77777777" w:rsidR="00067514" w:rsidRDefault="00000000">
      <w:pPr>
        <w:pStyle w:val="HeaderStyle"/>
      </w:pPr>
      <w:r>
        <w:t>Wyrok</w:t>
      </w:r>
    </w:p>
    <w:p w14:paraId="5B5CF2F3" w14:textId="77777777" w:rsidR="00067514" w:rsidRDefault="00000000">
      <w:pPr>
        <w:pStyle w:val="HeaderStyle"/>
      </w:pPr>
      <w:r>
        <w:t xml:space="preserve">Sądu Najwyższego </w:t>
      </w:r>
    </w:p>
    <w:p w14:paraId="17E1438C" w14:textId="77777777" w:rsidR="00067514" w:rsidRDefault="00000000">
      <w:pPr>
        <w:pStyle w:val="HeaderStyle"/>
      </w:pPr>
      <w:r>
        <w:t>z dnia 28 kwietnia 2022 r.</w:t>
      </w:r>
    </w:p>
    <w:p w14:paraId="37E92195" w14:textId="77777777" w:rsidR="00067514" w:rsidRDefault="00000000">
      <w:pPr>
        <w:pStyle w:val="HeaderStyle"/>
      </w:pPr>
      <w:r>
        <w:t>V KK 518/20</w:t>
      </w:r>
    </w:p>
    <w:p w14:paraId="05BA3529" w14:textId="77777777" w:rsidR="00067514" w:rsidRDefault="00000000">
      <w:pPr>
        <w:pStyle w:val="HeaderStyle"/>
      </w:pPr>
      <w:r>
        <w:t>Istota zamiaru ewentualnego</w:t>
      </w:r>
    </w:p>
    <w:p w14:paraId="53962C2D" w14:textId="77777777" w:rsidR="00067514" w:rsidRDefault="00000000">
      <w:pPr>
        <w:pStyle w:val="HeaderStyle"/>
      </w:pPr>
      <w:r>
        <w:t>TEZA aktualna</w:t>
      </w:r>
    </w:p>
    <w:p w14:paraId="4329A2B9" w14:textId="77777777" w:rsidR="00067514" w:rsidRDefault="00000000">
      <w:pPr>
        <w:spacing w:before="25" w:after="0"/>
        <w:jc w:val="both"/>
      </w:pPr>
      <w:r>
        <w:rPr>
          <w:color w:val="000000"/>
        </w:rPr>
        <w:t xml:space="preserve">Godzenie się, będące istotą zamiaru ewentualnego, to akceptacja stanu rzeczy objętego znamionami przedmiotowymi, które sprawca może zrealizować. Przybiera postać różnego rodzaju stanów obojętności </w:t>
      </w:r>
      <w:proofErr w:type="gramStart"/>
      <w:r>
        <w:rPr>
          <w:color w:val="000000"/>
        </w:rPr>
        <w:t>sprawcy</w:t>
      </w:r>
      <w:proofErr w:type="gramEnd"/>
      <w:r>
        <w:rPr>
          <w:color w:val="000000"/>
        </w:rPr>
        <w:t xml:space="preserve"> wobec tego, co czyni lub co może z jego zachowań wyniknąć. Chodzi o przeżycie psychiczne, które da się zwerbalizować następująco: "dopuszczam taką możliwość", "wszystko mi jedno, czy to nastąpi czy nie", "lepiej, żeby nie nastąpiło, ale jeśli nastąpi, to trudno". Istota tego zamiaru polega na tym, że jest on zawsze związany z jakimś bezpośrednim zamiarem, czyli z dążeniem do osiągnięcia celu i z tego względu nie występuje samoistnie. Sprawca realizując swój cel, który zamierza osiągnąć, przewiduje też realną możliwość popełnienia przestępstwa i godzi się na zaistnienie takiego skutku, jaki w rezultacie jego kierunkowego działania nastąpi.</w:t>
      </w:r>
    </w:p>
    <w:p w14:paraId="2F546E05" w14:textId="77777777" w:rsidR="00067514" w:rsidRDefault="00000000">
      <w:pPr>
        <w:pStyle w:val="HeaderStyle"/>
      </w:pPr>
      <w:r>
        <w:t>UZASADNIENIE</w:t>
      </w:r>
    </w:p>
    <w:p w14:paraId="3A81EDD7" w14:textId="77777777" w:rsidR="00067514" w:rsidRDefault="00000000">
      <w:pPr>
        <w:spacing w:before="164" w:after="0"/>
      </w:pPr>
      <w:r>
        <w:rPr>
          <w:b/>
          <w:color w:val="000000"/>
        </w:rPr>
        <w:t>Uzasadnienie faktyczne</w:t>
      </w:r>
    </w:p>
    <w:p w14:paraId="258E1B36" w14:textId="77777777" w:rsidR="00067514" w:rsidRDefault="00000000">
      <w:pPr>
        <w:spacing w:before="25" w:after="0"/>
      </w:pPr>
      <w:r>
        <w:rPr>
          <w:color w:val="000000"/>
        </w:rPr>
        <w:t xml:space="preserve">Wyrokiem Sądu Rejonowego w R. z dnia 19 grudnia 2019 r. (sygn. akt II K (...)) G. B. został uznany winnym tego, że w dniu 2 grudnia 2014 r. w R., rozpowszechniał treści pornograficzne z udziałem małoletnich w ten sposób, że za pomocą programu komputerowego (...), tj. czynu z </w:t>
      </w:r>
      <w:r>
        <w:rPr>
          <w:color w:val="1B1B1B"/>
        </w:rPr>
        <w:t>art. 202 § 3</w:t>
      </w:r>
      <w:r>
        <w:rPr>
          <w:color w:val="000000"/>
        </w:rPr>
        <w:t xml:space="preserve"> k.k. oraz tego, że w okresie od 15 września 2015 r. do 18 listopada 2015 r. w R., rozpowszechniał treści pornograficzne z udziałem małoletnich oraz treści pornograficzne związane z posługiwaniem się zwierzęciem, w ten sposób, że za pomocą programu komputerowego (...) wersja 0.50a pobierał pliki filmowe zawierające filmy z treściami pornograficznymi z udziałem małoletnich oraz treści pornograficzne związane z posługiwaniem się zwierzęciem, udostępniając je jednocześnie nieokreślonej liczbie osób korzystających z oprogramowania (...), tj. czynu z </w:t>
      </w:r>
      <w:r>
        <w:rPr>
          <w:color w:val="1B1B1B"/>
        </w:rPr>
        <w:t>art. 202 § 3</w:t>
      </w:r>
      <w:r>
        <w:rPr>
          <w:color w:val="000000"/>
        </w:rPr>
        <w:t xml:space="preserve"> k.k. Wymierzono mu karę łączną 2 lat pozbawienia wolności.</w:t>
      </w:r>
    </w:p>
    <w:p w14:paraId="57B6B2BE" w14:textId="77777777" w:rsidR="00067514" w:rsidRDefault="00000000">
      <w:pPr>
        <w:spacing w:before="25" w:after="0"/>
      </w:pPr>
      <w:r>
        <w:rPr>
          <w:color w:val="000000"/>
        </w:rPr>
        <w:t>Wyrokiem Sądu Okręgowego w P. z dnia 16 czerwca 2020 r. (sygn. akt XVII Ka (...)) wyrok został zmieniony w zakresie dookreślenia czasokresu popełnienia drugiego z czynów. W pozostałym zakresie wyrok utrzymano w mocy.</w:t>
      </w:r>
    </w:p>
    <w:p w14:paraId="19BA66EF" w14:textId="3A926772" w:rsidR="00067514" w:rsidRDefault="0052694C">
      <w:pPr>
        <w:spacing w:before="25" w:after="0"/>
      </w:pPr>
      <w:r>
        <w:rPr>
          <w:color w:val="000000"/>
        </w:rPr>
        <w:t>(…)</w:t>
      </w:r>
    </w:p>
    <w:p w14:paraId="1F0B9513" w14:textId="77777777" w:rsidR="00067514" w:rsidRDefault="00000000">
      <w:pPr>
        <w:spacing w:before="164" w:after="0"/>
      </w:pPr>
      <w:r>
        <w:rPr>
          <w:b/>
          <w:color w:val="000000"/>
        </w:rPr>
        <w:t>Uzasadnienie prawne</w:t>
      </w:r>
    </w:p>
    <w:p w14:paraId="1A62C0DD" w14:textId="77777777" w:rsidR="00067514" w:rsidRDefault="00000000">
      <w:pPr>
        <w:spacing w:before="25" w:after="0"/>
      </w:pPr>
      <w:r>
        <w:rPr>
          <w:color w:val="000000"/>
        </w:rPr>
        <w:t>Sąd Najwyższy zważył co następuje.</w:t>
      </w:r>
    </w:p>
    <w:p w14:paraId="598D9249" w14:textId="77777777" w:rsidR="00067514" w:rsidRDefault="00000000">
      <w:pPr>
        <w:spacing w:before="25" w:after="0"/>
      </w:pPr>
      <w:r>
        <w:rPr>
          <w:color w:val="000000"/>
        </w:rPr>
        <w:lastRenderedPageBreak/>
        <w:t>Kasacja okazała się zasadna w zakresie zarzutu naruszenia prawa procesowego, w szczególności standardu kontroli odwoławczej w odniesieniu do sformułowanego w apelacji zarzutu odnoszącego się do strony podmiotowej przypisanego oskarżonemu przestępstwa.</w:t>
      </w:r>
    </w:p>
    <w:p w14:paraId="2731D69C" w14:textId="77777777" w:rsidR="00067514" w:rsidRDefault="00000000">
      <w:pPr>
        <w:spacing w:before="25" w:after="0"/>
      </w:pPr>
      <w:r>
        <w:rPr>
          <w:color w:val="000000"/>
        </w:rPr>
        <w:t xml:space="preserve">Analiza argumentacji przedstawionej przez Sąd Okręgowy wskazuje na to, że skoncentrowała się ona wyłącznie na jednym z elementów przypisanego oskarżonemu zamiaru ewentualnego, tj. przewidywania możliwości popełnienia czynu w postaci rozpowszechniania plików zawierających treści pornograficzne z udziałem małoletnich. Brak jest natomiast odniesienia się do drugiego kluczowego zagadnienia jakim jest "godzenie się" na ten czyn. Sąd poprzestaje na arbitralnym stwierdzeniu, że takie "godzenie się" miało miejsce ("Oskarżony musiał przewidywać, że pobiera filmy o treści pornograficznej z udziałem małoletniego, a faktycznie je pobierając godził się na popełnienie czynu zabronionego" - pkt 3.2 uzasadnienia wyroku). W tym kontekście Sąd nie odniósł się do niekwestionowanego ustalenia, że oskarżony usuwał pliki zawierające zakazane treści, kiedy tylko zorientował się, że były one pobierane, co wpływa na ocenę strony podmiotowej na gruncie rozumienia terminu "godzi się" w myśl koncepcji obiektywnej manifestacji. Brak było także ustaleń wskazujących na to, czy pliki były pobierane przez oskarżonego pakietowo, czy też pojedynczo, co może rzutować na ocenę świadomości sprawcy w zakresie automatycznego udostępniania plików w momencie pobierania. W orzecznictwie akcentuje się, że w odniesieniu do zamiaru ewentualnego, oprócz samej świadomości możliwości realizacji znamion konkretnego typu czynu zabronionego należy wykazać także nastawienie sprawcy do tego potencjalnego efektu jego zachowania. "Godzenie się", będące istotą zamiaru ewentualnego, to bowiem akceptacja stanu rzeczy objętego znamionami przedmiotowymi, które sprawca może zrealizować. Przybiera postać różnego rodzaju stanów obojętności </w:t>
      </w:r>
      <w:proofErr w:type="gramStart"/>
      <w:r>
        <w:rPr>
          <w:color w:val="000000"/>
        </w:rPr>
        <w:t>sprawcy</w:t>
      </w:r>
      <w:proofErr w:type="gramEnd"/>
      <w:r>
        <w:rPr>
          <w:color w:val="000000"/>
        </w:rPr>
        <w:t xml:space="preserve"> wobec tego, co czyni lub co może z jego zachowań wyniknąć. Chodzi bowiem o przeżycie psychiczne, które da się zwerbalizować następująco: "dopuszczam taką możliwość", "wszystko mi jedno, czy to nastąpi czy nie", "lepiej, żeby nie nastąpiło, ale jeśli nastąpi, to trudno" (tak m.in. Sąd Najwyższy w wyroku z 4 grudnia 2018 r., </w:t>
      </w:r>
      <w:r>
        <w:rPr>
          <w:color w:val="1B1B1B"/>
        </w:rPr>
        <w:t>II KK 104/18</w:t>
      </w:r>
      <w:r>
        <w:rPr>
          <w:color w:val="000000"/>
        </w:rPr>
        <w:t xml:space="preserve">, LEX nr 2586256). Istota tego zamiaru polega na tym, że jest on zawsze związany z jakimś bezpośrednim zamiarem, czyli z dążeniem do osiągnięcia celu i z tego względu nie występuje samoistnie. Sprawca realizując swój cel, który zamierza osiągnąć, przewiduje też realną możliwość popełnienia przestępstwa i godzi się na zaistnienie takiego skutku, jaki w rezultacie jego kierunkowego działania nastąpi. Jednocześnie "zamiar", to określony proces zachodzący w psychice sprawcy, wyrażający się w świadomej woli zrealizowania przedmiotowych znamion czynu zabronionego, przy czym zamiar zarówno bezpośredni, jak i ewentualny oznacza zjawisko obiektywnej rzeczywistości, realny przebieg procesów psychicznych, nie jest zaś pojęciem z dziedziny ocen, czy też z dziedziny wartości. W niniejszej sprawie owa obojętność wyrażająca się potencjalnie np. w braku podejmowania przez oskarżonego czynności minimalizujących ryzyko wystąpienia realizacji znamion, musi być przedmiotem dowodzenia, co wskazuje w kasacji skarżący. Obojętność taka nie zachodzi wówczas, gdy sprawca, choć przewiduje realne prawdopodobieństwo zrealizowania znamion typu czynu zabronionego, to jednak tego nie chce. Na tym zasadza się koncepcja obiektywnej manifestacji, która w istocie wskazuje na kryteria, pozwalające na przyjęcie takiego ustalenia w zakresie przeżyć psychicznych istotnych w </w:t>
      </w:r>
      <w:proofErr w:type="spellStart"/>
      <w:r>
        <w:rPr>
          <w:color w:val="000000"/>
        </w:rPr>
        <w:t>prespektywie</w:t>
      </w:r>
      <w:proofErr w:type="spellEnd"/>
      <w:r>
        <w:rPr>
          <w:color w:val="000000"/>
        </w:rPr>
        <w:t xml:space="preserve"> ustalenia umyślności lub nieumyślności po stronie sprawcy. Sąd Okręgowy oceniając pod tym kątem wyrok Sądu I </w:t>
      </w:r>
      <w:r>
        <w:rPr>
          <w:color w:val="000000"/>
        </w:rPr>
        <w:lastRenderedPageBreak/>
        <w:t>instancji, nie mógł więc poprzestać na stwierdzeniu, że skoro w interfejsie programu (...) odczytywać można w jednym okienku dane o prędkości pobierania i wysyłania, automatycznie oznacza to, że sprawca godzi się na udostępnianie treści pornograficznych z udziałem małoletnich.</w:t>
      </w:r>
    </w:p>
    <w:p w14:paraId="3E02DB37" w14:textId="77777777" w:rsidR="00067514" w:rsidRDefault="00000000">
      <w:pPr>
        <w:spacing w:before="25" w:after="0"/>
      </w:pPr>
      <w:r>
        <w:rPr>
          <w:color w:val="000000"/>
        </w:rPr>
        <w:t>Niezależnie od powyższych okoliczności Sąd Okręgowy powinien w sposób bardziej pogłębiony odnieść się do statusu dowodu, jakim była dyskietka zawierająca dane informatyczne przekazane przez Interpol, w szczególności w kontekście przepisów dotyczących warunków wykorzystywania w postępowaniu</w:t>
      </w:r>
    </w:p>
    <w:p w14:paraId="0EA09DD5" w14:textId="77777777" w:rsidR="00067514" w:rsidRDefault="00000000">
      <w:pPr>
        <w:spacing w:before="25" w:after="0"/>
      </w:pPr>
      <w:r>
        <w:rPr>
          <w:color w:val="000000"/>
        </w:rPr>
        <w:t>sądowym informacji powstałych w ramach kontroli operacyjnej, w tym podsłuchów elektronicznych.</w:t>
      </w:r>
    </w:p>
    <w:p w14:paraId="42D3A77B" w14:textId="77777777" w:rsidR="00067514" w:rsidRDefault="00000000">
      <w:pPr>
        <w:spacing w:before="25" w:after="0"/>
      </w:pPr>
      <w:r>
        <w:rPr>
          <w:color w:val="000000"/>
        </w:rPr>
        <w:t>W tym stanie rzeczy należało orzec jak w sentencji. W ponownym postępowaniu Sąd rozpozna apelację w sposób szczegółowy, mając na względzie wyżej wskazane okoliczności.</w:t>
      </w:r>
    </w:p>
    <w:sectPr w:rsidR="00067514">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08"/>
  <w:hyphenationZone w:val="425"/>
  <w:characterSpacingControl w:val="doNotCompress"/>
  <w:compat>
    <w:compatSetting w:name="compatibilityMode" w:uri="http://schemas.microsoft.com/office/word" w:val="12"/>
    <w:compatSetting w:name="overrideTableStyleFontSizeAndJustification" w:uri="http://schemas.microsoft.com/office/word" w:val="1"/>
    <w:compatSetting w:name="useWord2013TrackBottomHyphenation" w:uri="http://schemas.microsoft.com/office/word" w:val="1"/>
  </w:compat>
  <w:rsids>
    <w:rsidRoot w:val="00067514"/>
    <w:rsid w:val="00067514"/>
    <w:rsid w:val="002F708F"/>
    <w:rsid w:val="005269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0C7609DE"/>
  <w15:docId w15:val="{00B8BF71-47E6-2049-A0A7-2AB549906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982</Words>
  <Characters>5895</Characters>
  <Application>Microsoft Office Word</Application>
  <DocSecurity>0</DocSecurity>
  <Lines>49</Lines>
  <Paragraphs>13</Paragraphs>
  <ScaleCrop>false</ScaleCrop>
  <Company/>
  <LinksUpToDate>false</LinksUpToDate>
  <CharactersWithSpaces>6864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Witold Zontek</cp:lastModifiedBy>
  <cp:revision>2</cp:revision>
  <dcterms:created xsi:type="dcterms:W3CDTF">2024-12-17T10:08:00Z</dcterms:created>
  <dcterms:modified xsi:type="dcterms:W3CDTF">2024-12-17T10:10:00Z</dcterms:modified>
</cp:coreProperties>
</file>