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B23373" w14:textId="77777777" w:rsidR="001256BF" w:rsidRDefault="001256BF" w:rsidP="0033056E">
      <w:pPr>
        <w:ind w:left="360"/>
      </w:pPr>
    </w:p>
    <w:p w14:paraId="0D6CA0AA" w14:textId="77777777" w:rsidR="00633666" w:rsidRPr="00633666" w:rsidRDefault="00633666" w:rsidP="0033056E">
      <w:pPr>
        <w:ind w:left="360"/>
        <w:rPr>
          <w:b/>
        </w:rPr>
      </w:pPr>
      <w:r w:rsidRPr="00633666">
        <w:rPr>
          <w:b/>
        </w:rPr>
        <w:t>Zobowiązania.</w:t>
      </w:r>
    </w:p>
    <w:p w14:paraId="1B5C6417" w14:textId="77777777" w:rsidR="00633666" w:rsidRDefault="00633666" w:rsidP="0033056E">
      <w:pPr>
        <w:ind w:left="360"/>
      </w:pPr>
    </w:p>
    <w:p w14:paraId="42788106" w14:textId="77777777" w:rsidR="0033056E" w:rsidRDefault="0033056E" w:rsidP="0033056E">
      <w:pPr>
        <w:ind w:left="360"/>
      </w:pPr>
      <w:r>
        <w:t>1.Gdy powód miał 6 lat, jego rodzice zawarli z PZU Życie  umowę ubezpieczenia, w 1985r, celem ułatwienia mu startu życiowego. Rodzice mieli opłacać składki począwszy od marca 1985r. w wysokości po 850 zł miesięcznie przez 14 lat. Wg polisy suma ubezpieczenia wynosiła 100000 zł, z tym, że co roku miała wzrastać o 10,8 %, co dawało po 14 latach kwotę 251 200 zł. Decyzją z dnia 1.03.1999r. wypłacono powodowi 660 zł, a na wypadek zawarcia ugody zaproponowano 1800 zł. Powód w pozwie zażądał kwoty 16 158 zł jako 12,5 krotności przeciętnego wynagrodzenia z 1989r. Pozwany wnosił o oddalenie powództwa ponad kwotę proponowaną ugodą, stwierdzając, że kwota do wypłaty mogłaby wynosić 12,5 krotność wynagrodzenia, ale przy założeniu, że urealniłoby się w taki sam sposób składki; zaś skoro pozwany otrzymał z tytułu składek 14,28 zł, to z kwoty należnej powodowi trzeba odjąć zwaloryzowaną składkę 11 335,21 zł i pozostanie do wypłaty co najwyżej 4 849,79 zł.</w:t>
      </w:r>
    </w:p>
    <w:p w14:paraId="23FAA5A3" w14:textId="77777777" w:rsidR="0033056E" w:rsidRDefault="0033056E" w:rsidP="0033056E">
      <w:pPr>
        <w:ind w:left="360"/>
      </w:pPr>
      <w:r>
        <w:t>Sąd dokonał waloryzacji w ten sposób, że na 1985r. odjął od sumy ubezpieczenia należnej powodowi – sumę składek i zwaloryzował pozostałość na datę wyrokowania, co dało kwotę 6999,92 zł. Czy sąd postąpił zgodnie z wymogami art. 358 – 1 par 3 kc, dokonując jedynie matematycznego przerachowania kwoty? Co powinien wziąć pod uwagę?</w:t>
      </w:r>
    </w:p>
    <w:p w14:paraId="61B12B9D" w14:textId="77777777" w:rsidR="0033056E" w:rsidRDefault="0033056E" w:rsidP="0033056E"/>
    <w:p w14:paraId="64E31839" w14:textId="77777777" w:rsidR="0033056E" w:rsidRDefault="0033056E" w:rsidP="0033056E">
      <w:pPr>
        <w:ind w:left="360"/>
      </w:pPr>
    </w:p>
    <w:p w14:paraId="77253C03" w14:textId="77777777" w:rsidR="0033056E" w:rsidRDefault="0033056E" w:rsidP="0033056E">
      <w:pPr>
        <w:ind w:left="360"/>
      </w:pPr>
      <w:r>
        <w:t>2.W umowie między inwestorem ( stowarzyszeniem sportowym nie prowadzącym działalności gospodarczej) a wykonawcą stwierdzono, że po odbiorze poszczególnych etapów robót – nastąpi ich odbiór z wpisem do dziennika budowy, oraz płatność za dany etap w terminie miesiąca od wystawienia faktury po odbiorze. Umowa przewidywała: ”na wypadek zwłoki inwestor  płaci odsetki”. W trakcie budowy okazało się, że środki na zapłatę przekazywane z dotacji celowych budżetu centralnego  - zostaną przekazane z opóźnieniem kilkumiesięcznym. Wobec tego inwestor wpisał to do dziennika budowy wraz z decyzją o wstrzymaniu robót. Jednak przedsiębiorstwo dalej kontynuowało roboty z uzasadnieniem, że nie może wstrzymywać prac, gdyż po zakończeniu tych robót mają następną inwestycję. Uzgodnienie to zapadło ustnie między dyrektorami, na prośbę wykonawcy, lecz nie zmieniono umowy, która przewidywała do zmiany formę pisemną pod rygorem nieważności. Ponieważ inwestor nie zapłacił w terminie po tym etapie, lecz z opóźnieniem, wykonawca wystąpił z pozwem o odsetki. Inwestor bronił się stwierdzeniem, że nie zgadzał się na prowadzenie robót, nie mając pieniędzy, a roboty podjął wykonawca, mając na uwadze fakt, że będzie opóźnienie, zatem nie może  teraz podnosić tej okoliczności na niekorzyść inwestora.</w:t>
      </w:r>
    </w:p>
    <w:p w14:paraId="6A7C4236" w14:textId="77777777" w:rsidR="0033056E" w:rsidRDefault="0033056E" w:rsidP="0033056E">
      <w:pPr>
        <w:ind w:left="360"/>
      </w:pPr>
      <w:r>
        <w:t xml:space="preserve">Czy należą się odsetki za opóźnienie w spełnieniu świadczenia w niniejszej sprawie? </w:t>
      </w:r>
    </w:p>
    <w:p w14:paraId="3C050D06" w14:textId="77777777" w:rsidR="0033056E" w:rsidRDefault="0033056E" w:rsidP="0033056E">
      <w:pPr>
        <w:ind w:left="360"/>
      </w:pPr>
    </w:p>
    <w:p w14:paraId="28D17F3D" w14:textId="77777777" w:rsidR="0033056E" w:rsidRDefault="0033056E" w:rsidP="0033056E">
      <w:pPr>
        <w:numPr>
          <w:ilvl w:val="0"/>
          <w:numId w:val="1"/>
        </w:numPr>
      </w:pPr>
      <w:r>
        <w:t xml:space="preserve">W dniu 10 marca 2002r. Karol B. zamówił u Jana K. wykonanie portretu  swej córki za wynagrodzeniem 500 zł. Obraz został wydany zamawiającemu w dniu 5.04.2002r. W dniu 6.07.2002r. Karol B. zamówił u Jana K. wykonanie portretu swej żony  za wynagrodzeniem 500 zł. Obraz został wydany zamawiającemu  w dniu 20 lipca 2002r.  Zamawiający nie zapłacił wynagrodzenia mimo że winno  zostać uiszczone  w terminie 7 dni od dnia wydania obrazu. W piśmie z dnia 6.05.2004r. zamawiający zwrócił się do przyjmującego zamówienie o rozłożenie należności głównych na 10 miesięcznych rat i zwolnienie z obowiązku zapłaty odsetek za opóźnienie. Przyjmujący zamówienie nie wyraził zgody na przedstawioną propozycję i w dniu 1.08.2004r. wytoczył powództwo o zapłatę. Pozwany złożył zarzut przedawnienia co do należności głównej i co do odsetek i wniósł o oddalenie powództwa w całości. </w:t>
      </w:r>
      <w:r>
        <w:lastRenderedPageBreak/>
        <w:t>Powód podniósł, że oświadczenie pozwanego zawarte w jego piśmie z dnia 6 maja 2004r. stanowi zrzeczenie się zarzutu przedawnienia co do roszczenia z umowy z dnia 10.03.2002r. oraz uznanie roszczenia z umowy z dnia 6.07., co skutkuje przerwaniem biegu przedawnienia. Poza tym podniósł, że roszczenie o odsetki przedawnia się z upływem lat trzech.</w:t>
      </w:r>
    </w:p>
    <w:p w14:paraId="080B1BC2" w14:textId="77777777" w:rsidR="0033056E" w:rsidRDefault="0033056E" w:rsidP="0033056E">
      <w:pPr>
        <w:ind w:left="360"/>
      </w:pPr>
      <w:r>
        <w:t>Jakie orzeczenie w tej sprawie winien wydać sąd?</w:t>
      </w:r>
    </w:p>
    <w:p w14:paraId="2D3497BA" w14:textId="77777777" w:rsidR="0033056E" w:rsidRDefault="0033056E" w:rsidP="0033056E">
      <w:pPr>
        <w:ind w:left="360"/>
      </w:pPr>
    </w:p>
    <w:p w14:paraId="55AD8187" w14:textId="77777777" w:rsidR="0033056E" w:rsidRDefault="0033056E" w:rsidP="0033056E">
      <w:pPr>
        <w:ind w:left="360"/>
      </w:pPr>
      <w:r>
        <w:t>4.Spółka z o.o.ABC w pozwie skierowanym przeciwko Aleksandrowi T domaga się zasądzenia odsetek za okres od 23 stycznia do 28 lutego 2004 za opóźnienie w zapłacie ceny za kocioł centralnego ogrzewania. Kocioł został zakupiony w dniu 23.01.2004r., w dniu 14.02.2004r. została doręczona pozwanemu przez pocztę faktura, zaś pozwany zapłacił cenę w dniu 28.02.2004r. Strona powodowa twierdzi, że pozwany był zobowiązany wypłacić cenę  w dniu sprzedaży w kasie spółki i nie mógł uzależniać zapłaty od otrzymania faktury. Pozwany twierdzi, że był zobowiązany do zapłaty w terminie 14 dni od otrzymania faktury. Ani umowa, ani faktura nie wskazywały warunków i terminów płatności.</w:t>
      </w:r>
    </w:p>
    <w:p w14:paraId="7C4EF267" w14:textId="77777777" w:rsidR="0033056E" w:rsidRDefault="0033056E" w:rsidP="0033056E">
      <w:pPr>
        <w:ind w:left="360"/>
      </w:pPr>
      <w:r>
        <w:t>Zaproponuj rozstrzygnięcie i wyjaśnij jego podstawy.</w:t>
      </w:r>
    </w:p>
    <w:p w14:paraId="7BB65BDD" w14:textId="77777777" w:rsidR="0033056E" w:rsidRDefault="0033056E" w:rsidP="0033056E">
      <w:pPr>
        <w:ind w:left="360"/>
      </w:pPr>
    </w:p>
    <w:p w14:paraId="1DEF36A2" w14:textId="77777777" w:rsidR="0033056E" w:rsidRDefault="0033056E" w:rsidP="0033056E">
      <w:pPr>
        <w:ind w:left="360"/>
      </w:pPr>
      <w:r>
        <w:t>5.W pozwie z dnia 5.05.2002r. Spółka z o.o Agawa żądała zasądzenia od pozwanych Anzelma R. i Stefana P. solidarnie kwoty 17 350 zł z odsetkami ustawowymi od dnia 9.06.2001r i kosztami procesu. W toku procesu powódka wykazała, że  w dniu 9.06.2001r. pozwani zagarnęli tę kwotę. Przed wniesieniem pozwu pozwani nie byli wzywani do zapłaty należności.</w:t>
      </w:r>
    </w:p>
    <w:p w14:paraId="7D0F9660" w14:textId="77777777" w:rsidR="0033056E" w:rsidRDefault="0033056E" w:rsidP="0033056E">
      <w:pPr>
        <w:ind w:left="360"/>
      </w:pPr>
      <w:r>
        <w:t>Wskazać projekt rozstrzygnięcia.</w:t>
      </w:r>
    </w:p>
    <w:p w14:paraId="5A08E38C" w14:textId="77777777" w:rsidR="0033056E" w:rsidRDefault="0033056E" w:rsidP="0033056E"/>
    <w:p w14:paraId="220E69AC" w14:textId="77777777" w:rsidR="00B8694A" w:rsidRDefault="00B8694A" w:rsidP="00B8694A">
      <w:pPr>
        <w:ind w:left="360"/>
      </w:pPr>
      <w:r>
        <w:t>6.W dniu 1.02.2001r. strony zawarły umowę, gdzie  Spółka z o.o. „G” zobowiązała się wykonać program komputerowy w terminie do 31.03.2001r., a Przedsiębiorstwo Komunalne do zapłaty wynagrodzenia w kwocie 3 500 zł płatnego w dniu 10.02.2002r. z doliczonym podatkiem VAT, na podstawie faktury wystawionej przez kontrahenta w ciągu 5 dni od jej otrzymania. Uzgodniono także, że wykonawcy należą się odsetki umowne w wysokości 5 % za każdy dzień opóźnienia, czyli ok. 70 % rocznie. Spółka wykonała i wydała program komputerowy oraz w dniu 2.01.2003r. wystawiła fakturę VAT na należność  w kwocie 4270 zł płatną do dnia 10 stycznia 2003r. Pozwana należność uiściła w dniu  19 marca 2003r. Spółka pismem z dnia 29.05.2004r. wezwała pozwaną do zapłaty odsetek za 69 dni opóźnienia w kwocie 14 731,50 zł, a następnie wytoczyła powództwo o te kwotę.</w:t>
      </w:r>
    </w:p>
    <w:p w14:paraId="1DF8AFF9" w14:textId="77777777" w:rsidR="00B8694A" w:rsidRDefault="00B8694A" w:rsidP="00B8694A">
      <w:pPr>
        <w:ind w:left="360"/>
      </w:pPr>
      <w:r>
        <w:t>Pozwana zarzuciła naruszenie art. 5 kc.</w:t>
      </w:r>
    </w:p>
    <w:p w14:paraId="688397AE" w14:textId="77777777" w:rsidR="00B8694A" w:rsidRDefault="00B8694A" w:rsidP="00B8694A">
      <w:pPr>
        <w:ind w:left="360"/>
      </w:pPr>
      <w:r>
        <w:t>Oceń zasadność obrony oraz wskaż rozstrzygnięcie sądu.</w:t>
      </w:r>
    </w:p>
    <w:p w14:paraId="1B5EDF35" w14:textId="77777777" w:rsidR="00400E53" w:rsidRDefault="00400E53" w:rsidP="0033056E">
      <w:pPr>
        <w:ind w:left="360"/>
      </w:pPr>
    </w:p>
    <w:p w14:paraId="21A5A46F" w14:textId="77777777" w:rsidR="00400E53" w:rsidRPr="00C814C0" w:rsidRDefault="00400E53" w:rsidP="00400E53">
      <w:pPr>
        <w:ind w:left="360"/>
      </w:pPr>
      <w:r>
        <w:t xml:space="preserve">6a. Alina B. nabyła od Stefana K.  w 1997r. działkę budowlaną, a z mapy wynikało, że dojazd do niej  istnieje po działce sprzedającego, z której wydzielono działkę przedmiotową, gdyż stwierdzono tam, że wydziela się prawnie służebność przejazdu. W akcie notarialnym sprzedaży na ten temat nie było mowy. Przejazd odbywał się bezproblemowo przez 10 lat, w trakcie których Alina B. utwardziła drogę żwirem.  W roku  2008 Stefan K. zagroził, że jeśli Alina B. nie obniży nasypu z jednej strony drogi, który usypała, to Stefan K. zagrodzi przejazd po działce. Nasyp został zniwelowany i do zagrodzenia nie doszło. W 2010r. Stefan K. wniósł pozew o wynagrodzenie za bezumowne korzystanie z jego działki przez Alinę B. za okres 3-ch lat wstecz w kwocie łącznie 24 000 zł, w oparciu o art. 224 § 2 i 225 k.c. Sąd ustalił, że w istocie brak prawnie </w:t>
      </w:r>
      <w:r>
        <w:lastRenderedPageBreak/>
        <w:t xml:space="preserve">ustanowionej służebności, gdyż  mapa oferowana do wglądu przy sprzedaży była tylko przygotowanym projektem takowej. Czy powództwo jest zasadne ? Co zrobi sąd? </w:t>
      </w:r>
    </w:p>
    <w:p w14:paraId="6AA2084B" w14:textId="77777777" w:rsidR="00400E53" w:rsidRDefault="00400E53" w:rsidP="0033056E">
      <w:pPr>
        <w:ind w:left="360"/>
      </w:pPr>
    </w:p>
    <w:p w14:paraId="65251A82" w14:textId="77777777" w:rsidR="0033056E" w:rsidRDefault="0033056E" w:rsidP="0033056E">
      <w:r>
        <w:t>7. Witold K. Prowadząc samochód osobowy marki „Fiat 126 P potrącił idącego prawidłowo Sebastiana F. który upadł na szosę i stracił przytomność. Witold K. nie zatrzymał się i kontynuował jazdę. Pozostawiony na szosie  Sebastian F. został następnie przejechany przez inny samochód, którego kierowcy nie udało się ustalić; w wyniku czego poniósł śmierć na miejscu.</w:t>
      </w:r>
    </w:p>
    <w:p w14:paraId="5B76D154" w14:textId="77777777" w:rsidR="0033056E" w:rsidRDefault="0033056E" w:rsidP="0033056E">
      <w:r>
        <w:t>W pozwie wniesionym przez żonę zmarłego przeciwko Witoldowi K. i PZU S.A. – domagała się ona zasądzenia solidarnie odszkodowania za znaczne pogorszenie się jej sytuacji życiowej wskutek śmierci męża oraz zwrotu kosztów pogrzebu. Pozwani zarzucili, że nie mogą odpowiadać za skutki śmierci Sebastiana F. skoro nastąpiła ona na skutek przejechania go przez innego kierowcę.</w:t>
      </w:r>
    </w:p>
    <w:p w14:paraId="78497720" w14:textId="77777777" w:rsidR="0033056E" w:rsidRDefault="0033056E" w:rsidP="0033056E">
      <w:r>
        <w:t>Ocenić sprawę i sformułować rozstrzygnięcie.</w:t>
      </w:r>
    </w:p>
    <w:p w14:paraId="356C113E" w14:textId="77777777" w:rsidR="0033056E" w:rsidRDefault="0033056E" w:rsidP="0033056E"/>
    <w:p w14:paraId="0DDE52DD" w14:textId="77777777" w:rsidR="0033056E" w:rsidRDefault="0033056E" w:rsidP="0033056E">
      <w:r>
        <w:t>8. Wojciech S. Jechał swoim wozem konnym do punktu skupu z owocami z sadu. Na drodze krajowej zaprzężone do wozu konie przestraszyły się przejeżdżającego samochodu i zanim Wojciech S. zatrzymał zaprzęg – konie potrąciły jadącego poboczem rowerzystę Ryszarda K. Ryszard K. dochodził od Wojciecha S. zadośćuczynienia w związku z doznanym złamaniem kości udowej, ogólnymi potłuczeniami oraz odszkodowania za zniszczony rower.</w:t>
      </w:r>
    </w:p>
    <w:p w14:paraId="251DABDF" w14:textId="77777777" w:rsidR="0033056E" w:rsidRDefault="0033056E" w:rsidP="0033056E">
      <w:r>
        <w:t>Wojciech S. nie uznawał powództwa. Podnosił, że konie spłoszył przejeżdżający zbyt blisko samochód, którego kierowca usiłował uniknąć zderzenia z samochodem jadącym z przeciwka i nieprawidłowo wyprzedzającym inny samochód jadący w tym samym kierunku. Tym samym zdaniem pozwanego nie ponosi on winy za spowodowanie wypadku, w którym powód doznał szkody.</w:t>
      </w:r>
    </w:p>
    <w:p w14:paraId="7E575DB4" w14:textId="77777777" w:rsidR="0033056E" w:rsidRDefault="0033056E" w:rsidP="0033056E">
      <w:r>
        <w:t xml:space="preserve"> Proszę omówić obronę pozwanego, podstawę jego odpowiedzialności.</w:t>
      </w:r>
    </w:p>
    <w:p w14:paraId="78B2BE78" w14:textId="77777777" w:rsidR="0033056E" w:rsidRDefault="0033056E" w:rsidP="0033056E"/>
    <w:p w14:paraId="7C41FA00" w14:textId="77777777" w:rsidR="0033056E" w:rsidRDefault="0033056E" w:rsidP="0033056E">
      <w:r>
        <w:t>9. Antoni Z. wybił szyby w oknach domku letniskowego Piotra C.  i porąbał znajdujący się na działce obok  drewniany składzik gospodarczy. Następnego dnia dom spalił się w pożarze spowodowanym awarią instalacji elektrycznej.</w:t>
      </w:r>
    </w:p>
    <w:p w14:paraId="0A20CE4F" w14:textId="77777777" w:rsidR="0033056E" w:rsidRDefault="0033056E" w:rsidP="0033056E">
      <w:r>
        <w:t>Piotr C. dochodzi od Antoniego Z. odszkodowania  obejmującego koszt odbudowania składziku ( 4000 zł) oraz wartość wybitych szyb ( 1500 zł). Antoni Z. wnosi o oddalenie żądania zasądzenia odszkodowania za zniszczone szyby, podnosząc, że i tak uległy zniszczeniu w czasie pożaru.</w:t>
      </w:r>
    </w:p>
    <w:p w14:paraId="27976D5D" w14:textId="77777777" w:rsidR="0033056E" w:rsidRDefault="0033056E" w:rsidP="0033056E">
      <w:r>
        <w:t>Proszę zaprojektować i uzasadnić rozstrzygnięcie.</w:t>
      </w:r>
    </w:p>
    <w:p w14:paraId="774B5941" w14:textId="77777777" w:rsidR="0033056E" w:rsidRDefault="0033056E" w:rsidP="0033056E"/>
    <w:p w14:paraId="20AC15F7" w14:textId="77777777" w:rsidR="0033056E" w:rsidRDefault="0033056E" w:rsidP="0033056E">
      <w:r>
        <w:t>10. Cezary U. podpalił garaż sąsiada Pawła N. Straż pożarna ugasiła ogień, stwierdzając, że spaleniu uległa brama wjazdowa do garażu i zadaszenie nad prowadzącym do niego podjazdem. Łączną wartość tych uszkodzeń określono na kwotę 3000 zł. Po odjeździe straży pożarnej nie dogaszony ogień rozszerzył się na cały budynek, wartości 15 000 zł który całkowicie spłonął.</w:t>
      </w:r>
    </w:p>
    <w:p w14:paraId="04D3683F" w14:textId="77777777" w:rsidR="0033056E" w:rsidRDefault="0033056E" w:rsidP="0033056E">
      <w:r>
        <w:t>Paweł N. Dochodzi od Cezarego U. Odszkodowania w kwocie 15 000 zł, Cezary U. uznał powództwo do kwoty 3000 zł podnosząc, że dalsza szkoda nie pozostaje  w związku przyczynowym z jego działaniem.</w:t>
      </w:r>
    </w:p>
    <w:p w14:paraId="3D52DF40" w14:textId="77777777" w:rsidR="0033056E" w:rsidRDefault="0033056E" w:rsidP="0033056E"/>
    <w:p w14:paraId="2F4B7417" w14:textId="77777777" w:rsidR="0033056E" w:rsidRDefault="0033056E" w:rsidP="0033056E">
      <w:r>
        <w:t>Zaprojektować i uzasadnić rozstrzygnięcie.</w:t>
      </w:r>
    </w:p>
    <w:p w14:paraId="7CB16806" w14:textId="77777777" w:rsidR="0033056E" w:rsidRDefault="0033056E" w:rsidP="0033056E"/>
    <w:p w14:paraId="3CF0ADEF" w14:textId="77777777" w:rsidR="0033056E" w:rsidRDefault="0033056E" w:rsidP="0033056E"/>
    <w:p w14:paraId="784D781F" w14:textId="77777777" w:rsidR="0033056E" w:rsidRDefault="0033056E" w:rsidP="0033056E">
      <w:r>
        <w:rPr>
          <w:b/>
          <w:bCs/>
        </w:rPr>
        <w:t xml:space="preserve"> </w:t>
      </w:r>
      <w:r>
        <w:t xml:space="preserve">11.Florian S. zażądał zasądzenia od pozwanego PZU S.A. Inspektoratu w K. kwoty 28 412 zł z tytułu kosztów naprawy samochodu. Sąd Rejonowy ustalił, że samochód powoda w dniu </w:t>
      </w:r>
      <w:r>
        <w:lastRenderedPageBreak/>
        <w:t>17.11.2002r.  został uszkodzony w wypadku komunikacyjnym z winy kierowcy, za którego odpowiedzialność cywilną ponosi pozwany zakład. Wartość wolnorynkowa samochodu przed wypadkiem wynosiła kwotę 20 000 zł, a po wypadku 15 000 zł. Koszty naprawy samochodu wynoszą kwotę dochodzoną pozwem.</w:t>
      </w:r>
    </w:p>
    <w:p w14:paraId="4F063658" w14:textId="77777777" w:rsidR="0033056E" w:rsidRDefault="0033056E" w:rsidP="0033056E">
      <w:r>
        <w:t>Zaproponować rozstrzygnięcie.</w:t>
      </w:r>
    </w:p>
    <w:p w14:paraId="3C5FBC30" w14:textId="77777777" w:rsidR="0033056E" w:rsidRDefault="0033056E" w:rsidP="0033056E"/>
    <w:p w14:paraId="3FC35EB2" w14:textId="77777777" w:rsidR="0033056E" w:rsidRDefault="0033056E" w:rsidP="0033056E">
      <w:r>
        <w:t>12. W 1963r. na podstawie legalnej decyzji administracyjnej – w ramach powszechnej elektryfikacji – na polu poprzednika prawnego  Witolda B.wystawiono linię wysokiego napięcia ( fragment większej całości), sadowiąc tam 7 słupów biegnących od granicy przez środek pola do następnej posesji. W 1996r., na prośbę Witolda B. O przesunięcie słupów, które przeszkadzają w uprawie działki – odpowiedziano na piśmie, że w ramach modernizacji linii do roku 2000 zakład energetyczny być może przesunie te słupy. Warunkiem jednak jest partycypowanie zainteresowanych w kosztach dokumentacji. Powództwo o usunięcie słupów zostało oddalone z uwagi na istnienie decyzji.</w:t>
      </w:r>
    </w:p>
    <w:p w14:paraId="4514A3A9" w14:textId="77777777" w:rsidR="0033056E" w:rsidRDefault="0033056E" w:rsidP="0033056E">
      <w:r>
        <w:t>Polegając na tej wiadomości – Witold B. zasadził w tym samym roku  las modrzewiowy, także pod linią wysokiego napięcia. W 2000r. zaś uzyskał decyzję Gminy na zadrzewienie już obsadzonego terenu. Do przesunięcia słupów nie doszło, gdyż nie chciał dołożyć środków finansowych, gdyż ich nie posiadał.</w:t>
      </w:r>
    </w:p>
    <w:p w14:paraId="43D771CC" w14:textId="77777777" w:rsidR="0033056E" w:rsidRDefault="0033056E" w:rsidP="0033056E">
      <w:r>
        <w:t>W 2003 roku wystąpił z pozwem o odszkodowanie  w kwocie 560 zł za straty w postaci konieczności wycięcia drzew dorastających do linii, co groziło pożarem. Gdyby drzewa rosły – w przyszłości ich wartość byłaby dużo wyższa. Wskazywał, że pozwany zajmuje jego działkę i nie zamierza polepszyć jego sytuacji, poprzez przesunięcie słupów na swój koszt.</w:t>
      </w:r>
    </w:p>
    <w:p w14:paraId="3B356C10" w14:textId="77777777" w:rsidR="0033056E" w:rsidRDefault="0033056E" w:rsidP="0033056E">
      <w:r>
        <w:t>Pozwany Zakład Energetyczny ( przedsiębiorstwo) wniósł o oddalenie powództwa i zarzucił, że powód sam przyczynił się do szkody, gdyż posadowił las pod linią samowolnie. Ponadto wskazał, że brak elementu czynu niedozwolonego, gdyż jest tytuł prawny do zajmowania działki. W istocie pozwany zwykle  przeprowadza modernizację na własny koszt, ale nie ma obowiązku umieszczać w planach takiej modernizacji, która by uwzględniała wnioski wszystkich właścicieli gruntów, jeśli jest to linia na uboczu a on musi remontować bardziej strategiczne; stąd uprzednio domaganie się, aby właściciele zainteresowani partycypowali. Obietnica zaś tej modernizacji z 1996r. nie miała waloru prawnego.</w:t>
      </w:r>
    </w:p>
    <w:p w14:paraId="0B7F6A32" w14:textId="77777777" w:rsidR="0033056E" w:rsidRDefault="0033056E" w:rsidP="0033056E"/>
    <w:p w14:paraId="3219C579" w14:textId="77777777" w:rsidR="0033056E" w:rsidRDefault="0033056E" w:rsidP="0033056E">
      <w:r>
        <w:t>Ocenić zasadność żądania.</w:t>
      </w:r>
    </w:p>
    <w:p w14:paraId="21B98D79" w14:textId="77777777" w:rsidR="0033056E" w:rsidRDefault="0033056E" w:rsidP="0033056E"/>
    <w:p w14:paraId="66751E9E" w14:textId="77777777" w:rsidR="0033056E" w:rsidRDefault="0033056E" w:rsidP="0033056E">
      <w:r>
        <w:t>13. Krystyna B., prowadząc działalność gospodarczą, miała 2 konta bankowe, gdzie lokowała środki bieżące. W 1992r. Bank, inny niż ten, gdzie miała rachunek – wystawił Bankowy Tytuł Wykonawczy p-ko Krystynie B. W trakcie prowadzonej egzekucji zajęto wierzytelności na rachunkach bankowych ( w małych kwotach); w trakcie procesu sąd umorzył postępowanie egzekucyjne  z uwagi na nieistnienie wierzytelności Banku i w związku z tym niezasadne zajęcie rachunków. W kolejnym procesie wytoczonym tym razem przeciwko Bankowi – Krystyna B. wniosła o zasądzenie  kwoty 4000 000 zł jako równowartości kwoty przychodu z 1992r. – która to suma miała odpowiadać szkodzie polegającej na utracie zdolności kredytowej z powodu zajęcia kont, co spowodowało utratę zdolności wśród kontrahentów.</w:t>
      </w:r>
    </w:p>
    <w:p w14:paraId="36246E10" w14:textId="77777777" w:rsidR="0033056E" w:rsidRDefault="0033056E" w:rsidP="0033056E">
      <w:r>
        <w:t>Przysługiwanie tej zdolności Krystyna B. wywodziła z ustawy o działalności gospodarczej oraz prawa bankowego; wskazywała, że istotne jest samo przysługiwanie tego prawa, a nie, z jakim efektem uprawniony czyni z tych praw ( zdolności kredytowej) pożytek.</w:t>
      </w:r>
    </w:p>
    <w:p w14:paraId="2E9F2D69" w14:textId="77777777" w:rsidR="0033056E" w:rsidRDefault="0033056E" w:rsidP="0033056E">
      <w:r>
        <w:t>Ocenić zasadność powództwa.</w:t>
      </w:r>
    </w:p>
    <w:p w14:paraId="2B9DE791" w14:textId="77777777" w:rsidR="0033056E" w:rsidRDefault="0033056E" w:rsidP="0033056E"/>
    <w:p w14:paraId="63C97805" w14:textId="77777777" w:rsidR="0033056E" w:rsidRDefault="0033056E" w:rsidP="0033056E">
      <w:pPr>
        <w:rPr>
          <w:b/>
          <w:bCs/>
        </w:rPr>
      </w:pPr>
    </w:p>
    <w:p w14:paraId="430E498F" w14:textId="77777777" w:rsidR="0033056E" w:rsidRDefault="0033056E" w:rsidP="0033056E">
      <w:r>
        <w:lastRenderedPageBreak/>
        <w:t>14.Stanisław K. dokonał kradzieży samochodu z garażu przydomowego, który otworzył, wyłamując zamki, pomagający mu Jan Ł, natomiast sprzedał go następnie Cezary J., dzieląc się kwotą z pozostałymi wspólnikami.</w:t>
      </w:r>
    </w:p>
    <w:p w14:paraId="1628C273" w14:textId="77777777" w:rsidR="0033056E" w:rsidRDefault="0033056E" w:rsidP="0033056E">
      <w:r>
        <w:t>Po ustaleniu przez Policję sprawców, ponieważ adres Jana Ł. pozostawał nieznany, poszkodowany  wytoczył powództwo przeciwko Stanisławowi K. i Cezaremu J., pozywając ich solidarnie o naprawienie szkody poprzez zapłatę 20 000 zł, to jest wartości samochodu. W trakcie rozpoznania sprawy okazało się, że Stanisław K. jest bezrobotny i na utrzymaniu ma niepracującą chorą żonę oraz trójkę dzieci, natomiast Cezary J. pracuje jako introligator ze stałym dochodem. Sąd zasądził kwotę 20 000 zł od Cezarego J, natomiast  w stosunku do Stanisława K. oddalił powództwo.</w:t>
      </w:r>
    </w:p>
    <w:p w14:paraId="34B884E7" w14:textId="77777777" w:rsidR="0033056E" w:rsidRDefault="0033056E" w:rsidP="0033056E">
      <w:r>
        <w:t>W następnej kolejności, po uzyskaniu adresu, powód w innym procesie  pozwał Jana Ł, który był najlepiej sytuowany materialnie. Sąd zasądził od tego pozwanego kwotę 20 000 zł z odsetkami za opóźnienie, pomimo, iż ten ostatni zarzucał, że skoro sąd we wcześniejszej sprawie oddalił powództwo przeciwko Stanisławowi K, to taki wyrok powoduje konieczność oddalenia powództwa w stosunku do Jana Ł.</w:t>
      </w:r>
    </w:p>
    <w:p w14:paraId="25CF6491" w14:textId="77777777" w:rsidR="0033056E" w:rsidRDefault="0033056E" w:rsidP="0033056E">
      <w:r>
        <w:t>1/ czy sąd mógł oddalić powództwo w stosunku do Stanisława K. i na jakiej podstawie?</w:t>
      </w:r>
    </w:p>
    <w:p w14:paraId="2051CF91" w14:textId="77777777" w:rsidR="0033056E" w:rsidRDefault="0033056E" w:rsidP="0033056E">
      <w:r>
        <w:t>2/ czy oddalenie powództwa w stosunku do jednego z dłużników solidarnych ma znaczenie dla odpowiedzialności innych?</w:t>
      </w:r>
    </w:p>
    <w:p w14:paraId="7D94ACB0" w14:textId="77777777" w:rsidR="0033056E" w:rsidRDefault="0033056E" w:rsidP="0033056E">
      <w:r>
        <w:t>3/ czy sąd w następnej sprawie prawidłowo zredagował wyrok</w:t>
      </w:r>
    </w:p>
    <w:p w14:paraId="4BB1D2EC" w14:textId="77777777" w:rsidR="0033056E" w:rsidRDefault="0033056E" w:rsidP="0033056E"/>
    <w:p w14:paraId="7FF592A7" w14:textId="77777777" w:rsidR="0033056E" w:rsidRDefault="0033056E" w:rsidP="0033056E"/>
    <w:p w14:paraId="0B081897" w14:textId="77777777" w:rsidR="0033056E" w:rsidRDefault="0033056E" w:rsidP="0033056E">
      <w:r>
        <w:t>15.Spółdzielnia Pracy „Dom” w pozwie skierowanym przeciwko Otylii P. domaga się zapłaty kwoty 20 000 zł tytułem kary umownej za odstąpienie pozwanej od umowy, stosownie do której pozwana zleciła powódce wzniesienie domu letniskowego. Z umowy wynika, iż wynagrodzenie miało być płatne w ratach, a niezapłacenie 3 kolejnych rat strony traktują jako odstąpi</w:t>
      </w:r>
      <w:r w:rsidR="00D65BD8">
        <w:t>enie od umowy. Na wypadek odstą</w:t>
      </w:r>
      <w:r>
        <w:t xml:space="preserve">pienia od umowy przez którąkolwiek ze stron </w:t>
      </w:r>
      <w:r w:rsidR="007E5DB3">
        <w:t xml:space="preserve">ta </w:t>
      </w:r>
      <w:r>
        <w:t xml:space="preserve">strona była zobowiązana do zapłaty kary umownej w wysokości dochodzonej w pozwie. Treść umowy, jak też fakt zalegania </w:t>
      </w:r>
      <w:r w:rsidR="00D65BD8">
        <w:t>z zapłatą 3 rat wynagrodzenia są</w:t>
      </w:r>
      <w:r>
        <w:t xml:space="preserve"> bezsporne. Pozwana twierdzi jednak, że jej zamiarem nie było odstąpienie od umowy, ale zaleganie z ratami wynikało z przejściowego braku pieniędzy, o czym powoda informowała.</w:t>
      </w:r>
    </w:p>
    <w:p w14:paraId="50A41F83" w14:textId="77777777" w:rsidR="0033056E" w:rsidRDefault="0033056E" w:rsidP="0033056E"/>
    <w:p w14:paraId="4359C972" w14:textId="77777777" w:rsidR="0033056E" w:rsidRDefault="0033056E" w:rsidP="0033056E">
      <w:r>
        <w:t>Zaproponuj orzeczenie i wyjaśnij jego podstawy.</w:t>
      </w:r>
    </w:p>
    <w:p w14:paraId="6691E09F" w14:textId="77777777" w:rsidR="0033056E" w:rsidRDefault="0033056E" w:rsidP="0033056E">
      <w:r>
        <w:t>Czy zapłata kary umownej jest uzależniona od poniesienia szkody ?</w:t>
      </w:r>
    </w:p>
    <w:p w14:paraId="0563152C" w14:textId="77777777" w:rsidR="0033056E" w:rsidRDefault="0033056E" w:rsidP="0033056E">
      <w:r>
        <w:t>Czy dopuszczalne jest odmienne  ustalenie w umowie?</w:t>
      </w:r>
    </w:p>
    <w:p w14:paraId="452FF18E" w14:textId="77777777" w:rsidR="0033056E" w:rsidRDefault="0033056E" w:rsidP="0033056E"/>
    <w:p w14:paraId="5B52B3BE" w14:textId="77777777" w:rsidR="0033056E" w:rsidRDefault="0033056E" w:rsidP="0033056E">
      <w:pPr>
        <w:rPr>
          <w:b/>
          <w:bCs/>
        </w:rPr>
      </w:pPr>
    </w:p>
    <w:p w14:paraId="0EC67417" w14:textId="77777777" w:rsidR="0033056E" w:rsidRDefault="0033056E" w:rsidP="0033056E">
      <w:r>
        <w:t>16.Piotr T. Zawarł ze Szczepanem R umowę zamiany, stosownie do której w zamian za starego konia i krowę otrzymał młodego 4 letniego konia o wartości 8000 zł. W umowie strony zastrzegły umowne prawo odstąpienia, które może być wykonane w terminie 2 tygodni od zawarcia umowy. Po 5 dniach okazało się, że koń otrzymany przez Piotra T.  Cierpi na chorobę uniemożliwiającą wykorzystanie go do cięższych prac polowych. Piotr T. Oświadczył Szczepanowi R. że od umowy odstępuje i zażądał zwrotu konia i krowy, jednakże Szczepan R do wezwania się nie zastosował, gdyż starego konia otrzymanego od Piotra T. Sprzedał na rzeź. W pozwie skierowanym przeciwko Szczepanowi R. Piotr T. Domaga się zapłaty 10 000 zł za jednoczesnym zwrotem przez niego pozwanemu konia, przy czym wskazuje, iż z dochodzonej kwoty 2000 zł stanowi koszty poniesione przez niego na utrzymanie konia w okresie od daty wniesienia pozwu.</w:t>
      </w:r>
    </w:p>
    <w:p w14:paraId="6E6057B1" w14:textId="77777777" w:rsidR="0033056E" w:rsidRDefault="0033056E" w:rsidP="0033056E">
      <w:r>
        <w:t xml:space="preserve">Zaproponuj orzeczenie i wyjaśnij jego podstawy. </w:t>
      </w:r>
    </w:p>
    <w:p w14:paraId="01110A21" w14:textId="77777777" w:rsidR="0033056E" w:rsidRDefault="0033056E" w:rsidP="0033056E">
      <w:r>
        <w:t xml:space="preserve"> </w:t>
      </w:r>
    </w:p>
    <w:p w14:paraId="05BE4BF7" w14:textId="77777777" w:rsidR="0033056E" w:rsidRDefault="0033056E" w:rsidP="0033056E">
      <w:pPr>
        <w:rPr>
          <w:b/>
          <w:bCs/>
        </w:rPr>
      </w:pPr>
    </w:p>
    <w:p w14:paraId="7074EA24" w14:textId="77777777" w:rsidR="005C03C9" w:rsidRPr="005C03C9" w:rsidRDefault="005C03C9" w:rsidP="005C03C9">
      <w:r w:rsidRPr="005C03C9">
        <w:rPr>
          <w:b/>
          <w:bCs/>
        </w:rPr>
        <w:lastRenderedPageBreak/>
        <w:t xml:space="preserve">17. </w:t>
      </w:r>
      <w:r w:rsidRPr="005C03C9">
        <w:t>Sąd Rejonowy w T. Wyrokiem z 7.02.2006r. zasądził od Tadeusza K. Na rzecz Wiesława M. Kwotę 5000 zł z odsetkami i kosztami procesu. Apelację Tadeusza K. Sąd okręgowy w K. wyrokiem z 4.07. 2006r. oddalił. Na skutek skargi kasacyjnej Tadeusza K. Sąd Najwyższy w dniu 27.08. 2007r. zmienił opisane wyroki i powództwo oddalił. Jeszcze przed doręczeniem Wiesławowi M. Odpisu skargi kasacyjnej ten wyegzekwował objętą tytułem wykonawczym kwotę i przeznaczył ją na wesele swej córki, która wyszła za mąż w dniu 20.07. 2006r.</w:t>
      </w:r>
    </w:p>
    <w:p w14:paraId="5047613E" w14:textId="77777777" w:rsidR="005C03C9" w:rsidRPr="005C03C9" w:rsidRDefault="005C03C9" w:rsidP="005C03C9">
      <w:r w:rsidRPr="005C03C9">
        <w:t>Obecnie Tadeusz K. Domaga się zwrotu wyegzekwowanej kwoty, Wiesław M. Wnosi o oddalenie powództwa.</w:t>
      </w:r>
    </w:p>
    <w:p w14:paraId="5D6A7358" w14:textId="77777777" w:rsidR="0033056E" w:rsidRDefault="0033056E" w:rsidP="0033056E"/>
    <w:p w14:paraId="57D7DF6B" w14:textId="77777777" w:rsidR="0033056E" w:rsidRDefault="0033056E" w:rsidP="0033056E">
      <w:r>
        <w:t>18. Powszechny Zakład Ubezpieczeń S.</w:t>
      </w:r>
      <w:r w:rsidR="00387601">
        <w:t>A. żądał od pozwanego Adama C. z</w:t>
      </w:r>
      <w:r>
        <w:t>apłaty kwoty 1500 zł tytułem zwrotu zawyżonego o tę kwotę odszkodowania wypłaconego pozwanemu za zniszczone powodzią uprawy. Ubezpieczyciel podnosił, że szacując szkodę  i wyliczając należne pozwanemu odszkodowanie mylnie ustalił jego wysokość na kwotę 3500 zł, gdy prawidłowe wynosi 2000 zł.</w:t>
      </w:r>
    </w:p>
    <w:p w14:paraId="0FA2EDA8" w14:textId="77777777" w:rsidR="0033056E" w:rsidRDefault="0033056E" w:rsidP="0033056E">
      <w:r>
        <w:t>Pozwany wnosił o oddalenie powództwa, wyjaśniając, że całą otrzymaną od powoda kwotę rozdysponował. Jeszcze przed wezwaniem go do zwrotu – kwotę 2000 zł przeznaczył na zakup nasion i nawozów, a za 1000 zł kupił meble do pokoju córki; natomiast 500 zł przeznaczył już po otrzymaniu wezwania do zwrotu na spłacenie pożyczki zaciągniętej u sąsiada.</w:t>
      </w:r>
    </w:p>
    <w:p w14:paraId="7883FB14" w14:textId="77777777" w:rsidR="0033056E" w:rsidRDefault="0033056E" w:rsidP="0033056E">
      <w:r>
        <w:t>Proszę ocenić zasadność powództwa i wyjaśnić różnicę między bezpodstawnym wzbogaceniem a nienależnym świadczeniem.</w:t>
      </w:r>
    </w:p>
    <w:p w14:paraId="7A441F2E" w14:textId="77777777" w:rsidR="0033056E" w:rsidRDefault="0033056E" w:rsidP="0033056E"/>
    <w:p w14:paraId="226D1DBA" w14:textId="77777777" w:rsidR="0033056E" w:rsidRDefault="0033056E" w:rsidP="0033056E">
      <w:r>
        <w:t xml:space="preserve">19. Zofia N. W pozwie z dnia 20.02.2001r. domagała się zasądzenia na swoją rzecz od Marii W. zwaloryzowanej ceny sprzedaży mieszkania w kwocie 30 000 zł. Wyjaśniła, że w marcu 1980r. kupiła na podstawie nieformalnej, pisemnej umowy mieszkanie, którym Maria W. dysponowała jako odrębną własnością lokalu. Zapłaciła umówioną cenę i zajmowała lokal do października 1999r. Kiedy to znalazła się w szpitalu, a potem przez pół roku przebywała w domu opieki społecznej, gdyż potrzebowała pomocy osób trzecich. Gdy w połowie 2000r. Wróciła do domu, okazało się że pozwana sprzedała prawo do lokalu, w którym mieszkała powódka notarialną umową Adamowi C. Którego prawo zostało ujawnione w księdze wieczystej i który zajął mieszkanie. </w:t>
      </w:r>
    </w:p>
    <w:p w14:paraId="4F1A1F58" w14:textId="77777777" w:rsidR="0033056E" w:rsidRDefault="0033056E" w:rsidP="0033056E">
      <w:r>
        <w:t xml:space="preserve">Maria W. nie uznawała żądania. Podnosiła zarzut przedawnienia, a także zarzucała, że żądana przez powódkę kwota jest wyższa od aktualnej ceny mieszkania, które w 2000 r. Zostało zbyte za kwotę 16 900 zł. </w:t>
      </w:r>
    </w:p>
    <w:p w14:paraId="38314457" w14:textId="77777777" w:rsidR="0033056E" w:rsidRDefault="0033056E" w:rsidP="0033056E"/>
    <w:p w14:paraId="5517A17C" w14:textId="77777777" w:rsidR="0033056E" w:rsidRDefault="0033056E" w:rsidP="0033056E">
      <w:r>
        <w:t>Proszę ocenić zarzuty pozwanej oraz podstawę prawną żądania pozwu.</w:t>
      </w:r>
    </w:p>
    <w:p w14:paraId="069AF0C3" w14:textId="77777777" w:rsidR="0033056E" w:rsidRDefault="0033056E" w:rsidP="0033056E"/>
    <w:p w14:paraId="01130CBC" w14:textId="77777777" w:rsidR="0033056E" w:rsidRDefault="0033056E" w:rsidP="0033056E">
      <w:r>
        <w:t>20. Dionizy B. W pozwie skierowanym przeciwko Spółdzielni Mieszkaniowej w S. Domaga się zasądzenia kwoty 6000 zł jako zwrotu nienależnego świadczenia z tytułu opłat eksploatacyjnych za okres od 1.06.2000r. do 31.12.2003r. za zajmowane przez powoda mieszkanie. We wcześniej rozpoznanej między stronami sprawie ustalono wyrokiem z dnia 3.04.2003r. iż powód obowiązany jest do uiszczania od dnia 1.06.2000r. na rzecz pozwanej opłat eksploatacyjnych obniżonych o 50 %, a to z uwagi na niedogrzanie mieszkania oraz inne jego wady. Wyrok powyższy uprawomocnił się bez zaskarżenia i bez wniosku o sporządzenie jego uzasadnienia. Powód uiszczał pełne opłaty eksploatacyjne od 1.06.00 do 31.12.2003r., gdyż dopiero w styczniu 2004r. Otrzymał od pozwanej książeczkę opłat uwzględniającą opłaty w obniżonej wysokości.</w:t>
      </w:r>
    </w:p>
    <w:p w14:paraId="52DC3BFF" w14:textId="77777777" w:rsidR="0033056E" w:rsidRDefault="0033056E" w:rsidP="0033056E"/>
    <w:p w14:paraId="65F68C36" w14:textId="77777777" w:rsidR="0033056E" w:rsidRDefault="0033056E" w:rsidP="0033056E">
      <w:r>
        <w:t>Czy żądanie pozwu jest zasadne – wyjaśnij jego podstawy prawne.</w:t>
      </w:r>
    </w:p>
    <w:p w14:paraId="3E6DF279" w14:textId="77777777" w:rsidR="0033056E" w:rsidRDefault="0033056E" w:rsidP="0033056E"/>
    <w:p w14:paraId="1AFBD34B" w14:textId="77777777" w:rsidR="0033056E" w:rsidRDefault="00DA1AA8" w:rsidP="0033056E">
      <w:pPr>
        <w:numPr>
          <w:ilvl w:val="0"/>
          <w:numId w:val="2"/>
        </w:numPr>
      </w:pPr>
      <w:r>
        <w:lastRenderedPageBreak/>
        <w:t>Franciszek J. w</w:t>
      </w:r>
      <w:r w:rsidR="0033056E">
        <w:t xml:space="preserve"> pozwie skierowanym przeciwko Teodorowi S. Domaga się zasądzenia kwoty 15 000 zł tytułem wynagrodzenia za bezumowne korzystanie przez pozwanego z nieruchomości, którą pozwany władał bez podstawy prawnej. Pozwany nie kwestionuje faktów w pozwie przytoczonych, jednakże podnosi zarzut przedawnienia roszczenia, gdyż pozew wniesiony został 2 lata po zwrocie nieruchomości powodowi. Powód twierdzi, że przedawnienie nie nastąpiło, gdyż pozwany bezpodstawnie wzbogacił się jego kosztem, a zatem podstawą roszczenia są przepisy o bezpodstawnym wzbogaceniu.</w:t>
      </w:r>
    </w:p>
    <w:p w14:paraId="49E594B9" w14:textId="77777777" w:rsidR="0033056E" w:rsidRDefault="0033056E" w:rsidP="0033056E">
      <w:pPr>
        <w:ind w:left="360"/>
      </w:pPr>
      <w:r>
        <w:t xml:space="preserve">Zaproponuj orzeczenie i wyjaśnij jego podstawy. </w:t>
      </w:r>
    </w:p>
    <w:p w14:paraId="07876B0E" w14:textId="77777777" w:rsidR="00000000" w:rsidRDefault="00000000"/>
    <w:p w14:paraId="7122B680" w14:textId="77777777" w:rsidR="0033056E" w:rsidRDefault="0033056E" w:rsidP="0033056E">
      <w:pPr>
        <w:widowControl w:val="0"/>
        <w:autoSpaceDE w:val="0"/>
        <w:autoSpaceDN w:val="0"/>
        <w:adjustRightInd w:val="0"/>
        <w:spacing w:line="302" w:lineRule="exact"/>
        <w:ind w:left="115" w:right="883"/>
        <w:jc w:val="both"/>
      </w:pPr>
    </w:p>
    <w:p w14:paraId="5BC0321A" w14:textId="77777777" w:rsidR="00B938AB" w:rsidRPr="00B938AB" w:rsidRDefault="00B938AB" w:rsidP="00B938AB">
      <w:r>
        <w:t>22.Artur D. p</w:t>
      </w:r>
      <w:r w:rsidRPr="00B938AB">
        <w:t>rowadził od marca 2008r. negocjacje z Waldemarem K. zmierzające do nabycia na podstawie umowy sprzedaży nieruchomości rolnej, własności Waldemara K. Zamiar sprzedaży nieruchomości Waldemar K. ogłosił w jednym z ogólnokrajowych czasopism w styczniu 2008r. W maju 2008r. Waldemar K. oświadczył podczas trzeciej wizyty Artura D. U niego, że zrezygnował z zamiaru sprzedaży nieruchomości rolnej, w związku z czym nie podpisze przygotowanego przez notariusza projektu umowy, pomimo wcześniejszego aprobowania wszystki</w:t>
      </w:r>
      <w:r>
        <w:t>ch postanowień umowy. Artur D. p</w:t>
      </w:r>
      <w:r w:rsidRPr="00B938AB">
        <w:t>oniósł w związku z toczącymi się negocjacjami koszty trzech przejazdów własnym samochodem do miejsca zamieszkania Waldemara K. w wysokości 2000 zł, koszty porady u adwokata 2000 zł oraz koszty postępowania związane z przygotowaniem umowy u notariusza i załatwiania formalności w urzędzie Gminy w wysokości 3000 zł.</w:t>
      </w:r>
    </w:p>
    <w:p w14:paraId="774EF4F8" w14:textId="77777777" w:rsidR="00B938AB" w:rsidRPr="00B938AB" w:rsidRDefault="00B938AB" w:rsidP="00B938AB"/>
    <w:p w14:paraId="2B18D305" w14:textId="77777777" w:rsidR="00B938AB" w:rsidRPr="00B938AB" w:rsidRDefault="00B938AB" w:rsidP="00B938AB">
      <w:pPr>
        <w:numPr>
          <w:ilvl w:val="0"/>
          <w:numId w:val="3"/>
        </w:numPr>
      </w:pPr>
      <w:r w:rsidRPr="00B938AB">
        <w:t>Kto ostatecznie powinien zapłacić za powstałe straty?</w:t>
      </w:r>
    </w:p>
    <w:p w14:paraId="72642348" w14:textId="77777777" w:rsidR="00B938AB" w:rsidRPr="00B938AB" w:rsidRDefault="00B938AB" w:rsidP="00B938AB">
      <w:pPr>
        <w:numPr>
          <w:ilvl w:val="0"/>
          <w:numId w:val="3"/>
        </w:numPr>
      </w:pPr>
      <w:r w:rsidRPr="00B938AB">
        <w:t>Wskazać przepisy kc mogące mieć zastosowanie w sprawie</w:t>
      </w:r>
    </w:p>
    <w:p w14:paraId="06AA7167" w14:textId="77777777" w:rsidR="00B938AB" w:rsidRPr="00B938AB" w:rsidRDefault="00B938AB" w:rsidP="00B938AB">
      <w:pPr>
        <w:numPr>
          <w:ilvl w:val="0"/>
          <w:numId w:val="3"/>
        </w:numPr>
      </w:pPr>
      <w:r w:rsidRPr="00B938AB">
        <w:t>Wyjaśnić, na czym polega tzw. ujemny interes umowny i culpa in contrahendo</w:t>
      </w:r>
    </w:p>
    <w:p w14:paraId="53CD33CA" w14:textId="77777777" w:rsidR="0033056E" w:rsidRDefault="0033056E" w:rsidP="0033056E"/>
    <w:p w14:paraId="0248AF24" w14:textId="77777777" w:rsidR="0033056E" w:rsidRDefault="0033056E" w:rsidP="0033056E">
      <w:pPr>
        <w:widowControl w:val="0"/>
        <w:autoSpaceDE w:val="0"/>
        <w:autoSpaceDN w:val="0"/>
        <w:adjustRightInd w:val="0"/>
        <w:spacing w:line="302" w:lineRule="exact"/>
        <w:ind w:left="115" w:right="883"/>
        <w:jc w:val="both"/>
      </w:pPr>
    </w:p>
    <w:p w14:paraId="3973BAFD" w14:textId="77777777" w:rsidR="0033056E" w:rsidRDefault="0033056E" w:rsidP="0033056E">
      <w:pPr>
        <w:widowControl w:val="0"/>
        <w:autoSpaceDE w:val="0"/>
        <w:autoSpaceDN w:val="0"/>
        <w:adjustRightInd w:val="0"/>
      </w:pPr>
    </w:p>
    <w:p w14:paraId="27D95D9F" w14:textId="77777777" w:rsidR="0033056E" w:rsidRDefault="0033056E" w:rsidP="0033056E">
      <w:r>
        <w:t>23.W dniu15.12.</w:t>
      </w:r>
      <w:r w:rsidR="00AF5B7B" w:rsidRPr="00AF5B7B">
        <w:t xml:space="preserve"> </w:t>
      </w:r>
      <w:r w:rsidR="00AF5B7B">
        <w:t>2011</w:t>
      </w:r>
      <w:r>
        <w:t>R. Roman S. odmówił zawarcia notarialnej umowy sprzedaży nieruchomości, w wykonaniu wcześniejszej, notarialnej umowy przedwstępnej, określającej przedmiot sprzedaży, cenę i termin zawarcia umowy przyrzeczonej. Roman S. nie zgodził się zapłacić za nieruchomość ceny, jakiej zażądał w dniu zawarcia umowy przyrzeczonej  Marek K. – wyższej o 5000 zł od określonej w umowie przedwstępnej. Wystąpił przeciwko Markowi K. z żądaniem zapłaty odszkodowania obejmującego zwrot kosztów sporządzenia umowy notarialnej oraz równowartość dochodów, jakie uzyskałby po przejściu na niego własności nieruchomości, prowadząc na niej skup złomu.</w:t>
      </w:r>
    </w:p>
    <w:p w14:paraId="58E961D8" w14:textId="77777777" w:rsidR="0033056E" w:rsidRDefault="0033056E" w:rsidP="0033056E">
      <w:r>
        <w:t>Marek K. nie uznawał żądania, Zarzucał, że do zawarcia umowy przyrzeczonej nie doszło z winy Romana S., a nadto, że odszkodowanie nie przysługuje, gdy nabywca nie dochodzi zawarcia umowy przyrzeczonej.</w:t>
      </w:r>
    </w:p>
    <w:p w14:paraId="0C5B8772" w14:textId="77777777" w:rsidR="0033056E" w:rsidRDefault="0033056E" w:rsidP="0033056E">
      <w:r>
        <w:t>Proszę ocenić zarzuty Marka K. oraz scharakteryzować odszkodowanie, którego dochodzi Roman S.</w:t>
      </w:r>
    </w:p>
    <w:p w14:paraId="2E67CA13" w14:textId="77777777" w:rsidR="0033056E" w:rsidRDefault="0033056E" w:rsidP="0033056E"/>
    <w:p w14:paraId="5EC01471" w14:textId="77777777" w:rsidR="0033056E" w:rsidRDefault="0033056E" w:rsidP="0033056E">
      <w:r>
        <w:t>24.Janina i Henryk mał</w:t>
      </w:r>
      <w:r w:rsidR="00DA1AA8">
        <w:t>ż. G. zawarli w dniu  15.04.2008</w:t>
      </w:r>
      <w:r>
        <w:t xml:space="preserve">r. z Feliksem K. umowę w formie aktu notarialnego, mocą której zobowiązali się przenieść na Feliksa K.  własność nieruchomości zabudowanej o powierzchni </w:t>
      </w:r>
      <w:smartTag w:uri="urn:schemas-microsoft-com:office:smarttags" w:element="metricconverter">
        <w:smartTagPr>
          <w:attr w:name="ProductID" w:val="1000 m2"/>
        </w:smartTagPr>
        <w:r>
          <w:t>1000 m2</w:t>
        </w:r>
      </w:smartTag>
      <w:r>
        <w:t xml:space="preserve"> położonej w C. za cenę 80 000 </w:t>
      </w:r>
      <w:r w:rsidR="00DA1AA8">
        <w:t>zł w terminie do dnia 15.10.2008r. W dniu 12 września 2008</w:t>
      </w:r>
      <w:r>
        <w:t>r. strony zawarły kolejną umowę w formie aktu notarialnego, na podstawie której przedłużyły  termin do zawarcia umowy definitywnej na czas nie oznaczony. Gdy małżonkowie G. odmówili przeniesienia własności opisanej nieruchom</w:t>
      </w:r>
      <w:r w:rsidR="00DA1AA8">
        <w:t>ości, Feliks K. w dniu 4.03.2009</w:t>
      </w:r>
      <w:r>
        <w:t xml:space="preserve">r. wystąpił z pozwem o zobowiązanie </w:t>
      </w:r>
      <w:r>
        <w:lastRenderedPageBreak/>
        <w:t>małżonków G. do złożenia oświadczenia woli w przedmiocie przeniesienia własności nieruchomości, powołują</w:t>
      </w:r>
      <w:r w:rsidR="00DA1AA8">
        <w:t>c się na umowę z dnia 15.04.2008</w:t>
      </w:r>
      <w:r>
        <w:t>r. za cenę ustaloną w tej umowie.</w:t>
      </w:r>
    </w:p>
    <w:p w14:paraId="09DD0F37" w14:textId="77777777" w:rsidR="0033056E" w:rsidRDefault="0033056E" w:rsidP="0033056E"/>
    <w:p w14:paraId="009D747F" w14:textId="77777777" w:rsidR="0033056E" w:rsidRDefault="0033056E" w:rsidP="0033056E">
      <w:r>
        <w:t>Rozważyć stan faktyczny i zaproponować orzeczenie.</w:t>
      </w:r>
    </w:p>
    <w:p w14:paraId="338AD280" w14:textId="77777777" w:rsidR="0033056E" w:rsidRDefault="0033056E" w:rsidP="0033056E"/>
    <w:p w14:paraId="6FBA5256" w14:textId="77777777" w:rsidR="0033056E" w:rsidRDefault="0033056E" w:rsidP="0033056E">
      <w:r>
        <w:t>25.Halina W. zawarła z Fryderykiem R. umowę najmu lokalu użytk</w:t>
      </w:r>
      <w:r w:rsidR="005C289D">
        <w:t>owego na okres 2 lat od 1.02.2</w:t>
      </w:r>
      <w:r>
        <w:t>003r., wręczając równocześnie zadatek. W umówionym terminie rozpoczęcia najmu nie stawiła się, nie objęła lokalu w posiadanie, mimo że wynajmujący był gotów do jego wydania; nie uiszcza tez czynszu, zaś na stosowne wezwanie kierowane do niej przez Fryderyka R. przesłała do niego pismo, iż rozmyśliła się i od umowy odstępuje, a wynajmujący może zatrzymać sobie zadatek. We wniesionym pozwie Fryderyk R. domaga się zasądzenia od Haliny W. czynszu najmu. Pozwana wnosi o oddalenie powództwa, twierdząc, że uprawnienie Fryderyka R. ogranicza się do zatrzymania zadatku.</w:t>
      </w:r>
    </w:p>
    <w:p w14:paraId="59F5B0C7" w14:textId="77777777" w:rsidR="0033056E" w:rsidRDefault="0033056E" w:rsidP="0033056E">
      <w:r>
        <w:t>Zaproponuj orzeczenie i wyjaśnij jego podstawy.</w:t>
      </w:r>
    </w:p>
    <w:p w14:paraId="418BAA5E" w14:textId="77777777" w:rsidR="0033056E" w:rsidRDefault="0033056E" w:rsidP="0033056E"/>
    <w:p w14:paraId="2613BD74" w14:textId="77777777" w:rsidR="0033056E" w:rsidRDefault="0033056E" w:rsidP="0033056E"/>
    <w:p w14:paraId="5E57D4CB" w14:textId="77777777" w:rsidR="0033056E" w:rsidRDefault="0033056E" w:rsidP="0033056E"/>
    <w:p w14:paraId="6A8B5ECA" w14:textId="77777777" w:rsidR="0033056E" w:rsidRDefault="0033056E" w:rsidP="0033056E"/>
    <w:p w14:paraId="7FC04C90" w14:textId="77777777" w:rsidR="0033056E" w:rsidRDefault="0033056E" w:rsidP="0033056E">
      <w:r>
        <w:t>26.W dniu 15.</w:t>
      </w:r>
      <w:r w:rsidR="004A135B">
        <w:t>03.2005</w:t>
      </w:r>
      <w:r w:rsidR="00E948D7">
        <w:t>r. Stefan S. i Paweł A. z</w:t>
      </w:r>
      <w:r>
        <w:t>a</w:t>
      </w:r>
      <w:r w:rsidR="00E948D7">
        <w:t xml:space="preserve">warli umowę, mocą której Stefan </w:t>
      </w:r>
      <w:r>
        <w:t xml:space="preserve">S. zobowiązał się sprzedać Pawłowi A. za kwotę 25 000 zł nieruchomość o powierzchni </w:t>
      </w:r>
      <w:smartTag w:uri="urn:schemas-microsoft-com:office:smarttags" w:element="metricconverter">
        <w:smartTagPr>
          <w:attr w:name="ProductID" w:val="2 ha"/>
        </w:smartTagPr>
        <w:r>
          <w:t>2 ha</w:t>
        </w:r>
      </w:smartTag>
      <w:r>
        <w:t>. Strony ustaliły, że umowa sprzedaży zostanie zawarta u notariusza w jak najkrótszym terminie. Przy umowie Paweł A. wręczył Stefanowi S. 5000 zł. Stefan S. odmówił zawarcia umowy notarialnej. Wówczas Paweł A. w</w:t>
      </w:r>
      <w:r w:rsidR="004A135B">
        <w:t>ystąpił do sądu w dniu 4.03.2006</w:t>
      </w:r>
      <w:r>
        <w:t>r. o zapłatę kwoty 10 000 zł, twierdząc, że stanowi ona podwójny zadatek, który dał przy zawarciu umowy. Stefan S. wniósł o oddalenie powództwa, zarzucając, że umowa przedwstępna jest nieważna, gdyż nie została sporządzona w formie aktu notarialnego, a nadto, że roszczenie o zadatek uległo przedawnieniu, zgodnie z art. 390 par 3 kc.</w:t>
      </w:r>
    </w:p>
    <w:p w14:paraId="0F4620B5" w14:textId="77777777" w:rsidR="0033056E" w:rsidRDefault="0033056E" w:rsidP="0033056E">
      <w:r>
        <w:t>Omówić wyłaniające się zagadnienia prawne i zaprojektować orzeczenie sądu.</w:t>
      </w:r>
    </w:p>
    <w:p w14:paraId="106184EA" w14:textId="77777777" w:rsidR="0033056E" w:rsidRDefault="0033056E" w:rsidP="0033056E"/>
    <w:p w14:paraId="0834D197" w14:textId="77777777" w:rsidR="0033056E" w:rsidRDefault="0033056E" w:rsidP="0033056E">
      <w:pPr>
        <w:widowControl w:val="0"/>
        <w:tabs>
          <w:tab w:val="left" w:pos="7248"/>
        </w:tabs>
        <w:autoSpaceDE w:val="0"/>
        <w:autoSpaceDN w:val="0"/>
        <w:adjustRightInd w:val="0"/>
        <w:spacing w:line="307" w:lineRule="exact"/>
      </w:pPr>
      <w:r>
        <w:t>27.Karol D. zawarł ze spółką X umowę, stosownie do której spółka zobowiązała się do</w:t>
      </w:r>
    </w:p>
    <w:p w14:paraId="6D593364" w14:textId="77777777" w:rsidR="0033056E" w:rsidRDefault="0033056E" w:rsidP="0033056E">
      <w:pPr>
        <w:widowControl w:val="0"/>
        <w:tabs>
          <w:tab w:val="left" w:pos="7248"/>
        </w:tabs>
        <w:autoSpaceDE w:val="0"/>
        <w:autoSpaceDN w:val="0"/>
        <w:adjustRightInd w:val="0"/>
        <w:spacing w:line="307" w:lineRule="exact"/>
        <w:ind w:left="187"/>
        <w:jc w:val="both"/>
      </w:pPr>
      <w:r>
        <w:t>sprowadzenia z zagranicy bliżej w umowie wymienionych artykułów spożywczych i sprzedaży ich Karolowi D. Spółka X umowy tej nie wykonała, gdyż przepisy sanitarne zabraniały przywozu na polski obszar celny wymienionych w umowie towarów z państwa wskazanego w umowie. Karol D. w pozwie skierowanym przeciwko spółce X domaga się zasądzenia odszkodowania odpowiadającego utraconym przychodom ze sprzedaży w/w towarów w prowadzonym przez niego sklepie. Pozwana spółka zarzuca, iż zakaz przywozu jest okolicznością od niej niezależną, a nadto kwestionuje wysokość zgłoszonego roszczenia.</w:t>
      </w:r>
    </w:p>
    <w:p w14:paraId="1215839C" w14:textId="77777777" w:rsidR="0033056E" w:rsidRDefault="0033056E" w:rsidP="0033056E">
      <w:pPr>
        <w:widowControl w:val="0"/>
        <w:tabs>
          <w:tab w:val="left" w:pos="7248"/>
        </w:tabs>
        <w:autoSpaceDE w:val="0"/>
        <w:autoSpaceDN w:val="0"/>
        <w:adjustRightInd w:val="0"/>
        <w:spacing w:line="307" w:lineRule="exact"/>
        <w:ind w:left="187" w:right="4766"/>
        <w:jc w:val="both"/>
      </w:pPr>
      <w:r>
        <w:t>Zaproponuj orzeczenie i omów jego podstawy.</w:t>
      </w:r>
    </w:p>
    <w:p w14:paraId="5E66A9F2" w14:textId="77777777" w:rsidR="0033056E" w:rsidRDefault="0033056E" w:rsidP="0033056E">
      <w:pPr>
        <w:widowControl w:val="0"/>
        <w:tabs>
          <w:tab w:val="left" w:pos="7248"/>
        </w:tabs>
        <w:autoSpaceDE w:val="0"/>
        <w:autoSpaceDN w:val="0"/>
        <w:adjustRightInd w:val="0"/>
        <w:spacing w:line="307" w:lineRule="exact"/>
        <w:ind w:left="187" w:right="4766"/>
        <w:jc w:val="both"/>
      </w:pPr>
    </w:p>
    <w:p w14:paraId="2392A48C" w14:textId="77777777" w:rsidR="0033056E" w:rsidRDefault="0033056E" w:rsidP="00397992">
      <w:pPr>
        <w:widowControl w:val="0"/>
        <w:tabs>
          <w:tab w:val="left" w:pos="7248"/>
        </w:tabs>
        <w:autoSpaceDE w:val="0"/>
        <w:autoSpaceDN w:val="0"/>
        <w:adjustRightInd w:val="0"/>
        <w:spacing w:line="307" w:lineRule="exact"/>
        <w:ind w:right="4766"/>
        <w:jc w:val="both"/>
      </w:pPr>
    </w:p>
    <w:p w14:paraId="4BBF5D75" w14:textId="77777777" w:rsidR="0073592F" w:rsidRDefault="0073592F" w:rsidP="001256BF">
      <w:pPr>
        <w:rPr>
          <w:rFonts w:ascii="Bookman Old Style" w:hAnsi="Bookman Old Style"/>
          <w:b/>
        </w:rPr>
      </w:pPr>
    </w:p>
    <w:p w14:paraId="0771401A" w14:textId="77777777" w:rsidR="0073592F" w:rsidRDefault="0073592F" w:rsidP="001256BF">
      <w:pPr>
        <w:rPr>
          <w:rFonts w:ascii="Bookman Old Style" w:hAnsi="Bookman Old Style"/>
          <w:b/>
        </w:rPr>
      </w:pPr>
    </w:p>
    <w:p w14:paraId="1EB4DCD2" w14:textId="77777777" w:rsidR="0073592F" w:rsidRDefault="0073592F" w:rsidP="001256BF">
      <w:pPr>
        <w:rPr>
          <w:rFonts w:ascii="Bookman Old Style" w:hAnsi="Bookman Old Style"/>
          <w:b/>
        </w:rPr>
      </w:pPr>
    </w:p>
    <w:p w14:paraId="1B8820AF" w14:textId="77777777" w:rsidR="0073592F" w:rsidRDefault="0073592F" w:rsidP="001256BF">
      <w:pPr>
        <w:rPr>
          <w:rFonts w:ascii="Bookman Old Style" w:hAnsi="Bookman Old Style"/>
          <w:b/>
        </w:rPr>
      </w:pPr>
    </w:p>
    <w:p w14:paraId="505A9C7C" w14:textId="77777777" w:rsidR="0073592F" w:rsidRDefault="0073592F" w:rsidP="001256BF">
      <w:pPr>
        <w:rPr>
          <w:rFonts w:ascii="Bookman Old Style" w:hAnsi="Bookman Old Style"/>
          <w:b/>
        </w:rPr>
      </w:pPr>
    </w:p>
    <w:p w14:paraId="3F3222C1" w14:textId="77777777" w:rsidR="0073592F" w:rsidRDefault="0073592F" w:rsidP="001256BF">
      <w:pPr>
        <w:rPr>
          <w:rFonts w:ascii="Bookman Old Style" w:hAnsi="Bookman Old Style"/>
          <w:b/>
        </w:rPr>
      </w:pPr>
    </w:p>
    <w:p w14:paraId="016C1A90" w14:textId="77777777" w:rsidR="0073592F" w:rsidRDefault="0073592F" w:rsidP="001256BF">
      <w:pPr>
        <w:rPr>
          <w:rFonts w:ascii="Bookman Old Style" w:hAnsi="Bookman Old Style"/>
          <w:b/>
        </w:rPr>
      </w:pPr>
    </w:p>
    <w:p w14:paraId="2B43AEA0" w14:textId="77777777" w:rsidR="001256BF" w:rsidRDefault="001256BF" w:rsidP="001256BF">
      <w:pPr>
        <w:rPr>
          <w:rFonts w:ascii="Bookman Old Style" w:hAnsi="Bookman Old Style"/>
        </w:rPr>
      </w:pPr>
      <w:r>
        <w:rPr>
          <w:rFonts w:ascii="Bookman Old Style" w:hAnsi="Bookman Old Style"/>
          <w:b/>
        </w:rPr>
        <w:t>Bezpodstawne wzbogacenie.</w:t>
      </w:r>
    </w:p>
    <w:p w14:paraId="5E8EFF53" w14:textId="77777777" w:rsidR="001256BF" w:rsidRDefault="001256BF" w:rsidP="001256BF">
      <w:pPr>
        <w:rPr>
          <w:rFonts w:ascii="Bookman Old Style" w:hAnsi="Bookman Old Style"/>
        </w:rPr>
      </w:pPr>
    </w:p>
    <w:p w14:paraId="2EE5F845" w14:textId="377FC3C4" w:rsidR="001256BF" w:rsidRDefault="00615CB3" w:rsidP="001256BF">
      <w:pPr>
        <w:rPr>
          <w:rFonts w:ascii="Bookman Old Style" w:hAnsi="Bookman Old Style"/>
        </w:rPr>
      </w:pPr>
      <w:r>
        <w:rPr>
          <w:rFonts w:ascii="Bookman Old Style" w:hAnsi="Bookman Old Style"/>
          <w:u w:val="single"/>
        </w:rPr>
        <w:t>27</w:t>
      </w:r>
      <w:r w:rsidR="001256BF">
        <w:rPr>
          <w:rFonts w:ascii="Bookman Old Style" w:hAnsi="Bookman Old Style"/>
          <w:u w:val="single"/>
        </w:rPr>
        <w:t>.</w:t>
      </w:r>
      <w:r w:rsidR="001256BF">
        <w:rPr>
          <w:rFonts w:ascii="Bookman Old Style" w:hAnsi="Bookman Old Style"/>
        </w:rPr>
        <w:t xml:space="preserve"> Marian M. oczekując na wybudowanie przez Spółdzielnię Mieszkaniową lokalu mieszkalnego – starał się także o garaż; Spółdzielnia  bowiem budowała garaże, lecz  z braku miejsca nie dla wszystkich. Z Marianem M. nie zawarto umowy o wybudowanie garażu. Jednak dowiedziawszy się o budowie kolejnej partii garaży – zgłosił się do biura Spółdzielni i uzyskał wiadomość od pracownika administracji, że być może będzie szansa ( nie wiadomo na pewno), ale powinien wpłacić wkład w kwocie 80 tys zł, co natychmiast uczynił, dokonując wpłaty w kasie Spółdzielni, w powołaniu się na wskazaną rozmowę. Następnie został wciągnięty na listę osób, która dokonała wpłaty „na garaże”, prowadzonej przez Spółdzielnię. W 1994r. okazało się, że Spółdzielnia jednak nie zawrze z nim umowy, gdyż liczba osób mających uprzednio zawarte umowy w stosunku do ilości garaży jest zbyt duża, zaś więcej garaży nie będzie budowanych. Spółdzielnia zaoferowała zwrot kwoty nominalnej  ( po denominacji) 140 zł, natomiast Marian M. w 1996r. wystąpił z pozwem o zapłatę kwoty 40 000 zł jako odpowiadającej wartości nowo wybudowanego garażu. Spółdzielnia wskazywała na brak jakiejkolwiek umowy i wnosiła o oddalenie powództwa ponad kwotę 140 zł. </w:t>
      </w:r>
    </w:p>
    <w:p w14:paraId="47723A72" w14:textId="77777777" w:rsidR="001256BF" w:rsidRDefault="001256BF" w:rsidP="001256BF">
      <w:pPr>
        <w:rPr>
          <w:rFonts w:ascii="Bookman Old Style" w:hAnsi="Bookman Old Style"/>
        </w:rPr>
      </w:pPr>
      <w:r>
        <w:rPr>
          <w:rFonts w:ascii="Bookman Old Style" w:hAnsi="Bookman Old Style"/>
        </w:rPr>
        <w:t>a/określ źródło zobowiązania Spółdzielni, b/ wskaż, czy Spółdzielnia winna zwrócić świadczenie jedynie w kwocie nominalnej?</w:t>
      </w:r>
    </w:p>
    <w:p w14:paraId="0438F6EB" w14:textId="77777777" w:rsidR="001256BF" w:rsidRDefault="001256BF" w:rsidP="001256BF">
      <w:pPr>
        <w:rPr>
          <w:rFonts w:ascii="Bookman Old Style" w:hAnsi="Bookman Old Style"/>
        </w:rPr>
      </w:pPr>
    </w:p>
    <w:p w14:paraId="18653E23" w14:textId="77777777" w:rsidR="001256BF" w:rsidRDefault="001256BF" w:rsidP="001256BF">
      <w:pPr>
        <w:autoSpaceDE w:val="0"/>
        <w:autoSpaceDN w:val="0"/>
        <w:adjustRightInd w:val="0"/>
        <w:rPr>
          <w:rFonts w:ascii="Arial" w:hAnsi="Arial" w:cs="Arial"/>
          <w:color w:val="000000"/>
          <w:sz w:val="20"/>
          <w:szCs w:val="20"/>
        </w:rPr>
      </w:pPr>
    </w:p>
    <w:p w14:paraId="7F0D70FE" w14:textId="3B8607A7" w:rsidR="001256BF" w:rsidRDefault="001256BF" w:rsidP="001256BF">
      <w:pPr>
        <w:rPr>
          <w:rFonts w:ascii="Bookman Old Style" w:hAnsi="Bookman Old Style"/>
        </w:rPr>
      </w:pPr>
      <w:r>
        <w:rPr>
          <w:rFonts w:ascii="Bookman Old Style" w:hAnsi="Bookman Old Style"/>
          <w:u w:val="single"/>
        </w:rPr>
        <w:t>2</w:t>
      </w:r>
      <w:r w:rsidR="00615CB3">
        <w:rPr>
          <w:rFonts w:ascii="Bookman Old Style" w:hAnsi="Bookman Old Style"/>
          <w:u w:val="single"/>
        </w:rPr>
        <w:t>8</w:t>
      </w:r>
      <w:r>
        <w:rPr>
          <w:rFonts w:ascii="Bookman Old Style" w:hAnsi="Bookman Old Style"/>
        </w:rPr>
        <w:t xml:space="preserve">/Bank Rolniczy w C. wnosił o zasądzenie od PKO BP SA kwoty 90 000 zł jako ½ wartości budynku wg stanu z chwili budowy ( 1989r.), a wedle cen z chwili wyrokowania (2000r.) Powód podnosił, że wspólnie z poprzednikiem prawnym pozwanego wybudował w roku 1989 budynek, ponosząc koszty po połowie, bezumownie, w ramach wspólnej inwestycji. W 1992r. decyzją wojewody stwierdzono nabycie na rzecz poprzednika prawnego  pozwanego </w:t>
      </w:r>
    </w:p>
    <w:p w14:paraId="41B4CDE3" w14:textId="77777777" w:rsidR="001256BF" w:rsidRDefault="001256BF" w:rsidP="001256BF">
      <w:pPr>
        <w:rPr>
          <w:rFonts w:ascii="Bookman Old Style" w:hAnsi="Bookman Old Style"/>
        </w:rPr>
      </w:pPr>
      <w:r>
        <w:rPr>
          <w:rFonts w:ascii="Bookman Old Style" w:hAnsi="Bookman Old Style"/>
        </w:rPr>
        <w:t xml:space="preserve">( banku państwowego) prawa użytkowania wieczystego gruntu i własności budynku  z dniem 5.12.1990r. Pozwany zarzucał, że po tylu latach budynek jest bardzo zużyty  i wyeksploatowany; tak więc żądanie powoda jest wygórowane, i  uznał powództwo do kwoty 40 tys zł wedle aktualnego stanu budynku. Powód obstawał przy dacie powstania wzbogacenia ( 1989r). Wskaż, jaka chwila jest miarodajna dla obliczenia wartości wzbogacenia? Czy w powyższym stanie faktycznym możliwa jest waloryzacja świadczenia wedle art 358-1 par3 </w:t>
      </w:r>
      <w:smartTag w:uri="lexAThandschemas/lexAThand" w:element="lexATakty">
        <w:smartTagPr>
          <w:attr w:name="ProductID" w:val="kc"/>
        </w:smartTagPr>
        <w:r>
          <w:rPr>
            <w:rFonts w:ascii="Bookman Old Style" w:hAnsi="Bookman Old Style"/>
          </w:rPr>
          <w:t>kc</w:t>
        </w:r>
      </w:smartTag>
      <w:r>
        <w:rPr>
          <w:rFonts w:ascii="Bookman Old Style" w:hAnsi="Bookman Old Style"/>
        </w:rPr>
        <w:t>?</w:t>
      </w:r>
    </w:p>
    <w:p w14:paraId="504B62FE" w14:textId="77777777" w:rsidR="001256BF" w:rsidRDefault="001256BF" w:rsidP="001256BF">
      <w:pPr>
        <w:rPr>
          <w:rFonts w:ascii="Bookman Old Style" w:hAnsi="Bookman Old Style"/>
          <w:sz w:val="20"/>
          <w:szCs w:val="20"/>
        </w:rPr>
      </w:pPr>
      <w:r>
        <w:rPr>
          <w:rFonts w:ascii="Bookman Old Style" w:hAnsi="Bookman Old Style"/>
        </w:rPr>
        <w:t xml:space="preserve"> </w:t>
      </w:r>
    </w:p>
    <w:p w14:paraId="772188D4" w14:textId="08020D1C" w:rsidR="001256BF" w:rsidRDefault="00615CB3" w:rsidP="001256BF">
      <w:pPr>
        <w:rPr>
          <w:rFonts w:ascii="Bookman Old Style" w:hAnsi="Bookman Old Style"/>
        </w:rPr>
      </w:pPr>
      <w:r>
        <w:rPr>
          <w:rFonts w:ascii="Bookman Old Style" w:hAnsi="Bookman Old Style"/>
          <w:u w:val="single"/>
        </w:rPr>
        <w:t>29</w:t>
      </w:r>
      <w:r w:rsidR="001256BF">
        <w:rPr>
          <w:rFonts w:ascii="Bookman Old Style" w:hAnsi="Bookman Old Style"/>
        </w:rPr>
        <w:t>/Maria C. nabyła własność lokalu mieszkalnego od swego brata Piotra P. za kwotę 65 000 zł. Kwota miała być wpłacona w ciągu 2 tygodni od zawarcia umowy, jednak wyjąwszy zaliczkę 5000 zł – wpłacona do rąk zbywcy nie została. W ciągu 3 miesięcy Piotr P. uchylił się od skutków oświadczenia woli o zawarciu umowy jako złożonego pod wpływem błędu i uzyskał wyrok ustalający nieważność czynności prawnej. Niemniej w międzyczasie  Maria C. po uzyskaniu wpisu prawa własności do ksiąg wieczystych – zbyła nieruchomość za kwotę 39 000 zł osobie trzeciej. Piotr C. po uzyskaniu orzeczenia wystąpił z powództwem o zwrot nieruchomości, względnie kwoty stanowiącej równowartość nieruchomości zgodnie z opinią biegłego. Pozwana Maria C. zarzuciła, że może zwrócić tylko to, co uzyskała w zamian za zbycie nieruchomości.</w:t>
      </w:r>
    </w:p>
    <w:p w14:paraId="5C8B360F" w14:textId="77777777" w:rsidR="001256BF" w:rsidRDefault="001256BF" w:rsidP="001256BF">
      <w:pPr>
        <w:rPr>
          <w:rFonts w:ascii="Bookman Old Style" w:hAnsi="Bookman Old Style"/>
        </w:rPr>
      </w:pPr>
      <w:r>
        <w:rPr>
          <w:rFonts w:ascii="Bookman Old Style" w:hAnsi="Bookman Old Style"/>
        </w:rPr>
        <w:lastRenderedPageBreak/>
        <w:t>Określ, które stanowisko jest prawidłowe? Czy, w jakim zakresie i  na jakiej podstawie Sąd powinien uwzględnić powództwo?.</w:t>
      </w:r>
    </w:p>
    <w:p w14:paraId="63A5BFD4" w14:textId="77777777" w:rsidR="001256BF" w:rsidRDefault="001256BF" w:rsidP="001256BF">
      <w:pPr>
        <w:rPr>
          <w:rFonts w:ascii="Bookman Old Style" w:hAnsi="Bookman Old Style"/>
        </w:rPr>
      </w:pPr>
    </w:p>
    <w:p w14:paraId="68BD14CF" w14:textId="77777777" w:rsidR="001256BF" w:rsidRDefault="001256BF" w:rsidP="001256BF">
      <w:pPr>
        <w:autoSpaceDE w:val="0"/>
        <w:autoSpaceDN w:val="0"/>
        <w:adjustRightInd w:val="0"/>
        <w:jc w:val="both"/>
        <w:rPr>
          <w:rFonts w:ascii="Arial" w:hAnsi="Arial" w:cs="Arial"/>
          <w:color w:val="000000"/>
          <w:sz w:val="20"/>
          <w:szCs w:val="20"/>
        </w:rPr>
      </w:pPr>
    </w:p>
    <w:p w14:paraId="38D43F83" w14:textId="29967806" w:rsidR="001256BF" w:rsidRDefault="00615CB3" w:rsidP="001256BF">
      <w:pPr>
        <w:autoSpaceDE w:val="0"/>
        <w:autoSpaceDN w:val="0"/>
        <w:adjustRightInd w:val="0"/>
        <w:jc w:val="both"/>
        <w:rPr>
          <w:rFonts w:ascii="Bookman Old Style" w:hAnsi="Bookman Old Style" w:cs="Arial"/>
          <w:color w:val="000000"/>
        </w:rPr>
      </w:pPr>
      <w:r>
        <w:rPr>
          <w:rFonts w:ascii="Bookman Old Style" w:hAnsi="Bookman Old Style" w:cs="Arial"/>
          <w:color w:val="000000"/>
        </w:rPr>
        <w:t>30</w:t>
      </w:r>
      <w:r w:rsidR="001256BF">
        <w:rPr>
          <w:rFonts w:ascii="Bookman Old Style" w:hAnsi="Bookman Old Style" w:cs="Arial"/>
          <w:color w:val="000000"/>
        </w:rPr>
        <w:t xml:space="preserve">/ W 1992r. Wiktor B. udzielił Stanisławowi C. pożyczki w kwocie 5000 USD na działalność gospodarczą, a mianowicie wybudowanie warsztatu naprawy pojazdów, z terminem zwrotu nieokreślonym. Warsztat rozpoczął działalność w 1994r i w grudniu tegoż roku Wiktor B. zwrócił się o zwrot pożyczki, lecz Stanisław C. wymawiał się tym, że dopiero „rozkręca interes”. Taki stan rzeczy trwał do lutego 1999r., kiedy to Wiktor B. wystąpił z pozwem o zwrot kwoty stanowiącej równowartość w złotówkach na podstawie umowy pożyczki. Pozwany wnosił o oddalenie powództwa. Sąd przy wyrokowaniu, przy bezspornym stanie faktycznym uznał, że umowa pożyczki jest bezwzględnie nieważna, albowiem w 1992r. strony nie dysponowały pozwoleniem dewizowym na tego typu czynność prawną ( art. 358 par 1 </w:t>
      </w:r>
      <w:smartTag w:uri="lexAThandschemas/lexAThand" w:element="lexATakty">
        <w:smartTagPr>
          <w:attr w:name="ProductID" w:val="kc"/>
        </w:smartTagPr>
        <w:r w:rsidR="001256BF">
          <w:rPr>
            <w:rFonts w:ascii="Bookman Old Style" w:hAnsi="Bookman Old Style" w:cs="Arial"/>
            <w:color w:val="000000"/>
          </w:rPr>
          <w:t>kc</w:t>
        </w:r>
      </w:smartTag>
      <w:r w:rsidR="001256BF">
        <w:rPr>
          <w:rFonts w:ascii="Bookman Old Style" w:hAnsi="Bookman Old Style" w:cs="Arial"/>
          <w:color w:val="000000"/>
        </w:rPr>
        <w:t>). Co powinien zrobić Sąd; oddalić powództwo czy zasądzić i na jakiej podstawie? Omów wyłaniające się zagadnienia prawne.</w:t>
      </w:r>
    </w:p>
    <w:p w14:paraId="41955729" w14:textId="77777777" w:rsidR="001256BF" w:rsidRDefault="001256BF" w:rsidP="001256BF">
      <w:pPr>
        <w:autoSpaceDE w:val="0"/>
        <w:autoSpaceDN w:val="0"/>
        <w:adjustRightInd w:val="0"/>
        <w:jc w:val="both"/>
        <w:rPr>
          <w:rFonts w:ascii="Bookman Old Style" w:hAnsi="Bookman Old Style" w:cs="Arial"/>
          <w:color w:val="000000"/>
        </w:rPr>
      </w:pPr>
    </w:p>
    <w:p w14:paraId="193DA02E" w14:textId="77777777" w:rsidR="001256BF" w:rsidRDefault="001256BF" w:rsidP="001256BF">
      <w:pPr>
        <w:autoSpaceDE w:val="0"/>
        <w:autoSpaceDN w:val="0"/>
        <w:adjustRightInd w:val="0"/>
        <w:jc w:val="both"/>
        <w:rPr>
          <w:rFonts w:ascii="Bookman Old Style" w:hAnsi="Bookman Old Style" w:cs="Arial"/>
          <w:b/>
          <w:color w:val="000000"/>
        </w:rPr>
      </w:pPr>
    </w:p>
    <w:p w14:paraId="6C36C7D8" w14:textId="77777777" w:rsidR="001256BF" w:rsidRDefault="001256BF" w:rsidP="001256BF">
      <w:pPr>
        <w:autoSpaceDE w:val="0"/>
        <w:autoSpaceDN w:val="0"/>
        <w:adjustRightInd w:val="0"/>
        <w:jc w:val="both"/>
        <w:rPr>
          <w:rFonts w:ascii="Bookman Old Style" w:hAnsi="Bookman Old Style" w:cs="Arial"/>
          <w:b/>
          <w:color w:val="000000"/>
        </w:rPr>
      </w:pPr>
    </w:p>
    <w:p w14:paraId="0C9DA015" w14:textId="77777777" w:rsidR="001256BF" w:rsidRDefault="001256BF" w:rsidP="001256BF">
      <w:pPr>
        <w:autoSpaceDE w:val="0"/>
        <w:autoSpaceDN w:val="0"/>
        <w:adjustRightInd w:val="0"/>
        <w:jc w:val="both"/>
        <w:rPr>
          <w:rFonts w:ascii="Bookman Old Style" w:hAnsi="Bookman Old Style" w:cs="Arial"/>
          <w:b/>
          <w:color w:val="000000"/>
        </w:rPr>
      </w:pPr>
    </w:p>
    <w:p w14:paraId="16130DCA" w14:textId="77777777" w:rsidR="001256BF" w:rsidRDefault="001256BF" w:rsidP="001256BF">
      <w:pPr>
        <w:tabs>
          <w:tab w:val="left" w:pos="6660"/>
        </w:tabs>
        <w:rPr>
          <w:rFonts w:ascii="Bookman Old Style" w:hAnsi="Bookman Old Style" w:cs="Arial"/>
          <w:b/>
          <w:color w:val="000000"/>
        </w:rPr>
      </w:pPr>
      <w:r>
        <w:rPr>
          <w:rFonts w:ascii="Bookman Old Style" w:hAnsi="Bookman Old Style" w:cs="Arial"/>
          <w:b/>
          <w:color w:val="000000"/>
        </w:rPr>
        <w:t>Wzorce umowne. Ochrona konsumenta.</w:t>
      </w:r>
    </w:p>
    <w:p w14:paraId="7404AEC9" w14:textId="77777777" w:rsidR="001256BF" w:rsidRDefault="001256BF" w:rsidP="001256BF">
      <w:pPr>
        <w:tabs>
          <w:tab w:val="left" w:pos="6660"/>
        </w:tabs>
        <w:rPr>
          <w:rFonts w:ascii="Bookman Old Style" w:hAnsi="Bookman Old Style" w:cs="Arial"/>
          <w:b/>
          <w:color w:val="000000"/>
        </w:rPr>
      </w:pPr>
    </w:p>
    <w:p w14:paraId="72B23BE5" w14:textId="0C873C00" w:rsidR="001256BF" w:rsidRDefault="00615CB3" w:rsidP="001256BF">
      <w:pPr>
        <w:tabs>
          <w:tab w:val="left" w:pos="6660"/>
        </w:tabs>
        <w:rPr>
          <w:rFonts w:ascii="Bookman Old Style" w:hAnsi="Bookman Old Style" w:cs="Arial"/>
          <w:color w:val="000000"/>
        </w:rPr>
      </w:pPr>
      <w:r>
        <w:rPr>
          <w:rFonts w:ascii="Bookman Old Style" w:hAnsi="Bookman Old Style" w:cs="Arial"/>
          <w:color w:val="000000"/>
        </w:rPr>
        <w:t>3</w:t>
      </w:r>
      <w:r w:rsidR="001256BF">
        <w:rPr>
          <w:rFonts w:ascii="Bookman Old Style" w:hAnsi="Bookman Old Style" w:cs="Arial"/>
          <w:color w:val="000000"/>
        </w:rPr>
        <w:t>1. Anna Z. dochodząc od właściciela wyciągu narciarskiego w R. zwrotu należności za niewykorzystane przez nią i członków rodziny karnety z dnia 2.03.2004r. podnosiła, że z uwagi na wiejący wiatr wyciąg był w tym dniu nieczynny już od godziny 12.00. Pozwany zarzucił, że w regulaminie wyciągu, przedstawianym do wglądu przy kasie, o którym jest też wzmianka na karnecie – widnieje informacja o braku uprawnienia do żądania zwrotu pieniędzy za zakupiony i niewykorzystany karnet, bez względu na okoliczności. Anna Z. zarzuciła, że regulamin nie został jej doręczony, zatem nie wiąże. Rozważ stanowiska stron i wskaż możliwą podstawę  uwzględnienia powództwa.</w:t>
      </w:r>
    </w:p>
    <w:p w14:paraId="3AB0A92B" w14:textId="77777777" w:rsidR="001256BF" w:rsidRDefault="001256BF" w:rsidP="001256BF">
      <w:pPr>
        <w:tabs>
          <w:tab w:val="left" w:pos="6660"/>
        </w:tabs>
        <w:rPr>
          <w:rFonts w:ascii="Bookman Old Style" w:hAnsi="Bookman Old Style" w:cs="Arial"/>
          <w:color w:val="000000"/>
          <w:sz w:val="20"/>
          <w:szCs w:val="20"/>
        </w:rPr>
      </w:pPr>
    </w:p>
    <w:p w14:paraId="26569C88" w14:textId="3B1579DB" w:rsidR="001256BF" w:rsidRDefault="00615CB3" w:rsidP="001256BF">
      <w:pPr>
        <w:tabs>
          <w:tab w:val="left" w:pos="6660"/>
        </w:tabs>
        <w:rPr>
          <w:rFonts w:ascii="Bookman Old Style" w:hAnsi="Bookman Old Style" w:cs="Arial"/>
          <w:color w:val="000000"/>
        </w:rPr>
      </w:pPr>
      <w:r>
        <w:rPr>
          <w:rFonts w:ascii="Bookman Old Style" w:hAnsi="Bookman Old Style" w:cs="Arial"/>
          <w:color w:val="000000"/>
        </w:rPr>
        <w:t>3</w:t>
      </w:r>
      <w:r w:rsidR="001256BF">
        <w:rPr>
          <w:rFonts w:ascii="Bookman Old Style" w:hAnsi="Bookman Old Style" w:cs="Arial"/>
          <w:color w:val="000000"/>
        </w:rPr>
        <w:t>2. Powódka zakupiła w dniu 13.09.2003r. w swoim mieszkaniu od koleżanki będącej przedstawicielem firmy kosmetycznej zestaw do makijażu za kwotę 200 zł. Następnego dnia poinformowała telefonicznie firmę o rezygnacji z zakupu, gdyż został dokonany pochopnie i w pośpiechu, a kosmetyków tych w istocie nie potrzebuje; dla pewności wysłała też list tej treści. W procesie o zwrot należności firma twierdziła, że z relacji jej przedstawiciela wynika, że powódka przez 2 godziny próbowała różnych kosmetyków przed ostateczną decyzją, zatem nie ma mowy o pośpiechu i domagała się oddalenia powództwa. Co zrobi sąd?</w:t>
      </w:r>
    </w:p>
    <w:p w14:paraId="63BFD2F0" w14:textId="77777777" w:rsidR="001256BF" w:rsidRDefault="001256BF" w:rsidP="001256BF">
      <w:pPr>
        <w:tabs>
          <w:tab w:val="left" w:pos="6660"/>
        </w:tabs>
        <w:rPr>
          <w:rFonts w:ascii="Bookman Old Style" w:hAnsi="Bookman Old Style" w:cs="Arial"/>
          <w:color w:val="000000"/>
          <w:sz w:val="20"/>
          <w:szCs w:val="20"/>
        </w:rPr>
      </w:pPr>
    </w:p>
    <w:p w14:paraId="510C309B" w14:textId="41F0A6B1" w:rsidR="001256BF" w:rsidRDefault="00615CB3" w:rsidP="001256BF">
      <w:pPr>
        <w:tabs>
          <w:tab w:val="left" w:pos="6660"/>
        </w:tabs>
        <w:rPr>
          <w:rFonts w:ascii="Bookman Old Style" w:hAnsi="Bookman Old Style" w:cs="Arial"/>
          <w:color w:val="000000"/>
        </w:rPr>
      </w:pPr>
      <w:r>
        <w:rPr>
          <w:rFonts w:ascii="Bookman Old Style" w:hAnsi="Bookman Old Style" w:cs="Arial"/>
          <w:color w:val="000000"/>
        </w:rPr>
        <w:t>3</w:t>
      </w:r>
      <w:r w:rsidR="001256BF">
        <w:rPr>
          <w:rFonts w:ascii="Bookman Old Style" w:hAnsi="Bookman Old Style" w:cs="Arial"/>
          <w:color w:val="000000"/>
        </w:rPr>
        <w:t xml:space="preserve">3. Jarosław Z. prowadząc wieczorem samochód oddany mu do czasowego używania przez Jana L., wpadł do rowu. Po wyciągnięciu samochodu za pomocą ciągnika okazało się, że uszkodzenia samochodu są tak poważne, że nie może on samodzielnie jechać. Udał się zatem do domu, a rano powiadomił właściciela, a ten policję. W procesie o zapłatę przeciwko ubezpieczycielowi ten ostatni zarzucił, że zgodnie z § 25 ogólnych warunków </w:t>
      </w:r>
      <w:r w:rsidR="001256BF">
        <w:rPr>
          <w:rFonts w:ascii="Bookman Old Style" w:hAnsi="Bookman Old Style" w:cs="Arial"/>
          <w:color w:val="000000"/>
        </w:rPr>
        <w:lastRenderedPageBreak/>
        <w:t>ubezpieczenia auto-casco będących częścią umowy, warunkiem wypłaty odszkodowania jest zawiadomienie policji niezwłocznie po zdarzeniu, którego skutkiem jest poważna szkoda, przez właściciela lub użytkownika samochodu. Ustalono, że naprawa przekraczała wartość samochodu. Powód podnosił, że umowę zawarł z użyciem wzorca, zawierającego klauzulę niedozwoloną, z uwagi na niejednoznaczność sformułowań, a nadto, że tego wieczoru odbywał się mecz piłkarski, więc funkcjonariusze zajęci ochroną nie przyjechaliby i tak na miejsce zdarzenia wcześniej niż rano. Oceń stanowiska stron ( w szczególności czy mamy do czynienia z wzorcem umownym, oraz  jakie są warunki uznania klauzuli za niedozwoloną).</w:t>
      </w:r>
    </w:p>
    <w:p w14:paraId="5BB187F8" w14:textId="77777777" w:rsidR="001256BF" w:rsidRDefault="001256BF" w:rsidP="001256BF">
      <w:pPr>
        <w:rPr>
          <w:sz w:val="20"/>
          <w:szCs w:val="20"/>
        </w:rPr>
      </w:pPr>
    </w:p>
    <w:p w14:paraId="44BA10E2" w14:textId="4837AFDD" w:rsidR="001256BF" w:rsidRDefault="00615CB3" w:rsidP="001256BF">
      <w:pPr>
        <w:rPr>
          <w:rFonts w:ascii="Bookman Old Style" w:hAnsi="Bookman Old Style"/>
        </w:rPr>
      </w:pPr>
      <w:r>
        <w:rPr>
          <w:rFonts w:ascii="Bookman Old Style" w:hAnsi="Bookman Old Style"/>
        </w:rPr>
        <w:t>3</w:t>
      </w:r>
      <w:r w:rsidR="001256BF">
        <w:rPr>
          <w:rFonts w:ascii="Bookman Old Style" w:hAnsi="Bookman Old Style"/>
        </w:rPr>
        <w:t>4. Po zakupie kurtki w sklepie  i przymierzeniu jej ponownie w domu – powód stwierdził, że ma kłopoty z zasunięciem zamka błyskawicznego i następnego dnia, przedstawiając kurtkę i  paragon, domagał się zwrotu pieniędzy w kasie sklepu. Sprzedawca po próbach wskazywał, że zamek działa dobrze i odmówił przyjęcia towaru. Powód wystąpił więc na drogę sądową, twierdząc, że ma prawo, jako konsument, zwrócić towar, do którego w międzyczasie się zniechęcił. Czy ma rację?</w:t>
      </w:r>
    </w:p>
    <w:p w14:paraId="31267523" w14:textId="77777777" w:rsidR="001256BF" w:rsidRDefault="001256BF" w:rsidP="001256BF">
      <w:pPr>
        <w:rPr>
          <w:rFonts w:ascii="Bookman Old Style" w:hAnsi="Bookman Old Style" w:cs="Arial"/>
          <w:bCs/>
          <w:sz w:val="20"/>
          <w:szCs w:val="20"/>
        </w:rPr>
      </w:pPr>
    </w:p>
    <w:p w14:paraId="2B687AAF" w14:textId="1B6289C7" w:rsidR="001256BF" w:rsidRDefault="00615CB3" w:rsidP="001256BF">
      <w:pPr>
        <w:rPr>
          <w:rFonts w:ascii="Bookman Old Style" w:hAnsi="Bookman Old Style" w:cs="Arial"/>
          <w:bCs/>
        </w:rPr>
      </w:pPr>
      <w:r>
        <w:rPr>
          <w:rFonts w:ascii="Bookman Old Style" w:hAnsi="Bookman Old Style" w:cs="Arial"/>
          <w:bCs/>
        </w:rPr>
        <w:t>3</w:t>
      </w:r>
      <w:r w:rsidR="001256BF">
        <w:rPr>
          <w:rFonts w:ascii="Bookman Old Style" w:hAnsi="Bookman Old Style" w:cs="Arial"/>
          <w:bCs/>
        </w:rPr>
        <w:t>5. Posiadacz rachunku bankowego Piotr J. wniósł  o zwrot pobranych należności od Banku Spółdzielczego w R.  z tytułu 1/ prowizji i opłat za prowadzenie rachunku bankowego, 2/ opłaty za zastrzeżenie karty, którą mu skradziono. Powód twierdził, że rozmiar pobieranych prowizji i opłat stanowi o naruszeniu dobrych obyczajów i interesów klienta. Pozwany  Bank w odpowiedzi  powoływał się na postanowienia regulaminu doręczone przy zawarciu umowy, ustalające owe opłaty, którymi powód jest związany. Oceń stanowiska stron i wskaż podstawę prawną żądania.</w:t>
      </w:r>
    </w:p>
    <w:p w14:paraId="6237638A" w14:textId="77777777" w:rsidR="001256BF" w:rsidRDefault="001256BF" w:rsidP="001256BF">
      <w:pPr>
        <w:rPr>
          <w:rFonts w:ascii="Bookman Old Style" w:hAnsi="Bookman Old Style" w:cs="Arial"/>
          <w:bCs/>
          <w:sz w:val="20"/>
          <w:szCs w:val="20"/>
        </w:rPr>
      </w:pPr>
    </w:p>
    <w:p w14:paraId="01F2886B" w14:textId="77777777" w:rsidR="001256BF" w:rsidRDefault="001256BF" w:rsidP="001256BF">
      <w:pPr>
        <w:rPr>
          <w:rFonts w:ascii="Bookman Old Style" w:hAnsi="Bookman Old Style" w:cs="Arial"/>
          <w:bCs/>
        </w:rPr>
      </w:pPr>
      <w:r>
        <w:rPr>
          <w:rFonts w:ascii="Bookman Old Style" w:hAnsi="Bookman Old Style" w:cs="Arial"/>
          <w:b/>
          <w:bCs/>
        </w:rPr>
        <w:t>Szkoda i związek przyczynowy/9/.</w:t>
      </w:r>
    </w:p>
    <w:p w14:paraId="506817D5" w14:textId="77777777" w:rsidR="001256BF" w:rsidRDefault="001256BF" w:rsidP="001256BF">
      <w:pPr>
        <w:rPr>
          <w:rFonts w:ascii="Bookman Old Style" w:hAnsi="Bookman Old Style" w:cs="Arial"/>
          <w:bCs/>
        </w:rPr>
      </w:pPr>
    </w:p>
    <w:p w14:paraId="4467319B" w14:textId="4BCD4F93" w:rsidR="001256BF" w:rsidRDefault="00615CB3" w:rsidP="001256BF">
      <w:pPr>
        <w:rPr>
          <w:rFonts w:ascii="Bookman Old Style" w:hAnsi="Bookman Old Style" w:cs="Arial"/>
          <w:bCs/>
        </w:rPr>
      </w:pPr>
      <w:r>
        <w:rPr>
          <w:rFonts w:ascii="Bookman Old Style" w:hAnsi="Bookman Old Style" w:cs="Arial"/>
          <w:bCs/>
        </w:rPr>
        <w:t>36</w:t>
      </w:r>
      <w:r w:rsidR="001256BF">
        <w:rPr>
          <w:rFonts w:ascii="Bookman Old Style" w:hAnsi="Bookman Old Style" w:cs="Arial"/>
          <w:bCs/>
        </w:rPr>
        <w:t xml:space="preserve">.  Strony zawarły w dniu 30.12.2002r. 2 umowy: na podstawie pierwszej pozwani mieli wyszukać i zakupić dla powoda po cenie  300 zł/ m2 strych w domu dla celów adaptacji na lokal mieszkalny o pow. ok. </w:t>
      </w:r>
      <w:smartTag w:uri="urn:schemas-microsoft-com:office:smarttags" w:element="metricconverter">
        <w:smartTagPr>
          <w:attr w:name="ProductID" w:val="50 m2"/>
        </w:smartTagPr>
        <w:r w:rsidR="001256BF">
          <w:rPr>
            <w:rFonts w:ascii="Bookman Old Style" w:hAnsi="Bookman Old Style" w:cs="Arial"/>
            <w:bCs/>
          </w:rPr>
          <w:t>50 m2</w:t>
        </w:r>
      </w:smartTag>
      <w:r w:rsidR="001256BF">
        <w:rPr>
          <w:rFonts w:ascii="Bookman Old Style" w:hAnsi="Bookman Old Style" w:cs="Arial"/>
          <w:bCs/>
        </w:rPr>
        <w:t>, zaś zgodnie z drugą – wykonać adaptację lokalu za wynagrodzeniem. Na konto pozwanych powód wpłacił zaliczkę 12 000 zł. Do wykonania umów nie doszło z winy pozwanych i powód od nich odstąpił. Następnie wytoczył powództwo o zwrot zaliczki, oraz o zapłatę 73 310 zł jako odszkodowania tytułem utraconej wartości rynkowej lokalu. Pozwani, nie kwestionując odstąpienia,   wnosili o oddalenie powództwa, zarzucając m.in. brak realnej szkody. Biegli stwierdzili hipotetycznie, że wartość rynkowa lokalu byłaby wyższa od wydatków poczynionych przez powoda. Oceń stan prawny i możliwe roszczenia powoda.</w:t>
      </w:r>
    </w:p>
    <w:p w14:paraId="45E6CF04" w14:textId="77777777" w:rsidR="001256BF" w:rsidRDefault="001256BF" w:rsidP="001256BF">
      <w:pPr>
        <w:rPr>
          <w:rFonts w:ascii="Bookman Old Style" w:hAnsi="Bookman Old Style" w:cs="Arial"/>
          <w:bCs/>
          <w:sz w:val="20"/>
          <w:szCs w:val="20"/>
        </w:rPr>
      </w:pPr>
    </w:p>
    <w:p w14:paraId="42A09FC6" w14:textId="1889496F" w:rsidR="001256BF" w:rsidRDefault="00615CB3" w:rsidP="001256BF">
      <w:pPr>
        <w:rPr>
          <w:rFonts w:ascii="Bookman Old Style" w:hAnsi="Bookman Old Style" w:cs="Arial"/>
          <w:bCs/>
        </w:rPr>
      </w:pPr>
      <w:r>
        <w:rPr>
          <w:rFonts w:ascii="Bookman Old Style" w:hAnsi="Bookman Old Style" w:cs="Arial"/>
          <w:bCs/>
        </w:rPr>
        <w:t>37</w:t>
      </w:r>
      <w:r w:rsidR="001256BF">
        <w:rPr>
          <w:rFonts w:ascii="Bookman Old Style" w:hAnsi="Bookman Old Style" w:cs="Arial"/>
          <w:bCs/>
        </w:rPr>
        <w:t xml:space="preserve">. W dniu 11 września </w:t>
      </w:r>
      <w:r w:rsidR="004A1821">
        <w:rPr>
          <w:rFonts w:ascii="Bookman Old Style" w:hAnsi="Bookman Old Style" w:cs="Arial"/>
          <w:bCs/>
        </w:rPr>
        <w:t>2023</w:t>
      </w:r>
      <w:r w:rsidR="001256BF">
        <w:rPr>
          <w:rFonts w:ascii="Bookman Old Style" w:hAnsi="Bookman Old Style" w:cs="Arial"/>
          <w:bCs/>
        </w:rPr>
        <w:t xml:space="preserve">r. doszło do wypadku drogowego, w którym uszkodzony został samochód powoda marki „Audi” rok prod. </w:t>
      </w:r>
      <w:r w:rsidR="004A1821">
        <w:rPr>
          <w:rFonts w:ascii="Bookman Old Style" w:hAnsi="Bookman Old Style" w:cs="Arial"/>
          <w:bCs/>
        </w:rPr>
        <w:t>2000</w:t>
      </w:r>
      <w:r w:rsidR="001256BF">
        <w:rPr>
          <w:rFonts w:ascii="Bookman Old Style" w:hAnsi="Bookman Old Style" w:cs="Arial"/>
          <w:bCs/>
        </w:rPr>
        <w:t xml:space="preserve">. Sprawca był ubezpieczony od odpowiedzialności cywilnej u pozwanego. Samochód powoda był użytkowany uprzednio przez 17 miesięcy. Został naprawiony w autoryzowanym warsztacie, z użyciem oryginalnych części i odzyskał pełną sprawność, ale nie uzyskał wartości rynkowej takiej, jak przed wypadkiem, wobec faktu, że warsztaty nie są w stanie wykonać prac blacharskich i </w:t>
      </w:r>
      <w:r w:rsidR="001256BF">
        <w:rPr>
          <w:rFonts w:ascii="Bookman Old Style" w:hAnsi="Bookman Old Style" w:cs="Arial"/>
          <w:bCs/>
        </w:rPr>
        <w:lastRenderedPageBreak/>
        <w:t>lakierniczych jak producent. Powód żądał zwrotu kosztów naprawy i różnicy między wartością „Audi” sprzed i po wypadku. Pozwany zarzucił dublowanie odszkodowania. Oceń roszczenia powoda.</w:t>
      </w:r>
    </w:p>
    <w:p w14:paraId="271E482C" w14:textId="77777777" w:rsidR="001256BF" w:rsidRDefault="001256BF" w:rsidP="001256BF">
      <w:pPr>
        <w:rPr>
          <w:rFonts w:ascii="Bookman Old Style" w:hAnsi="Bookman Old Style" w:cs="Arial"/>
          <w:bCs/>
          <w:sz w:val="20"/>
          <w:szCs w:val="20"/>
        </w:rPr>
      </w:pPr>
    </w:p>
    <w:p w14:paraId="4FC38046" w14:textId="5D3F7485" w:rsidR="001256BF" w:rsidRDefault="00615CB3" w:rsidP="001256BF">
      <w:pPr>
        <w:rPr>
          <w:rFonts w:ascii="Bookman Old Style" w:hAnsi="Bookman Old Style" w:cs="Arial"/>
          <w:bCs/>
        </w:rPr>
      </w:pPr>
      <w:r>
        <w:rPr>
          <w:rFonts w:ascii="Bookman Old Style" w:hAnsi="Bookman Old Style" w:cs="Arial"/>
          <w:bCs/>
        </w:rPr>
        <w:t>38</w:t>
      </w:r>
      <w:r w:rsidR="001256BF">
        <w:rPr>
          <w:rFonts w:ascii="Bookman Old Style" w:hAnsi="Bookman Old Style" w:cs="Arial"/>
          <w:bCs/>
        </w:rPr>
        <w:t xml:space="preserve">. Sławomir M. domagał się od PZU S.A. odszkodowania  w kwocie 30 000 zł  stanowiącego koszty naprawy samochodu marki Volswagen Passat rok produkcji </w:t>
      </w:r>
      <w:r w:rsidR="004A1821">
        <w:rPr>
          <w:rFonts w:ascii="Bookman Old Style" w:hAnsi="Bookman Old Style" w:cs="Arial"/>
          <w:bCs/>
        </w:rPr>
        <w:t>2010</w:t>
      </w:r>
      <w:r w:rsidR="001256BF">
        <w:rPr>
          <w:rFonts w:ascii="Bookman Old Style" w:hAnsi="Bookman Old Style" w:cs="Arial"/>
          <w:bCs/>
        </w:rPr>
        <w:t>, bardzo poważnie uszkodzonego w wypadku spowodowanym przez kierowcę ubezpieczonego w PZU S.A. Strona pozwana uznała powództwo do kwoty 20 000 zł, stanowiącej różnicę między wartością samochodu przed wypadkiem, a ceną tzw. pozostałości, zarzucając, że naprawa była niezasadna, skoro koszty naprawy przewyższały wartość samochodu sprzed wypadku ( 25 000). Dodatkowo zarzuciła, iż na skutek naprawy wzrosła wartość samochodu ( do 28 000 zł), zaś odszkodowanie nie może być źródłem wzbogacenia powoda. Wskaż właściwy sposób naprawienia szkody w tej sprawie.</w:t>
      </w:r>
    </w:p>
    <w:p w14:paraId="1A1CD16D" w14:textId="77777777" w:rsidR="001256BF" w:rsidRDefault="001256BF" w:rsidP="001256BF">
      <w:pPr>
        <w:rPr>
          <w:rFonts w:ascii="Bookman Old Style" w:hAnsi="Bookman Old Style" w:cs="Arial"/>
          <w:bCs/>
        </w:rPr>
      </w:pPr>
    </w:p>
    <w:p w14:paraId="5E9B0DD3" w14:textId="3503AE1A" w:rsidR="001256BF" w:rsidRDefault="00615CB3" w:rsidP="001256BF">
      <w:pPr>
        <w:rPr>
          <w:rFonts w:ascii="Bookman Old Style" w:hAnsi="Bookman Old Style" w:cs="Arial"/>
          <w:bCs/>
        </w:rPr>
      </w:pPr>
      <w:r>
        <w:rPr>
          <w:rFonts w:ascii="Bookman Old Style" w:hAnsi="Bookman Old Style" w:cs="Arial"/>
          <w:bCs/>
        </w:rPr>
        <w:t>39</w:t>
      </w:r>
      <w:r w:rsidR="001256BF">
        <w:rPr>
          <w:rFonts w:ascii="Bookman Old Style" w:hAnsi="Bookman Old Style" w:cs="Arial"/>
          <w:bCs/>
        </w:rPr>
        <w:t xml:space="preserve">. Jarosław K. dochodził od sprawcy wypadku drogowego Przemysława G. odszkodowania w kwocie 12500 zł, związanego z uszkodzeniem nerwu prawej ręki, co doprowadziło do czasowego niedowładu. Na powyższą kwotę składały się: wykazane rachunkami koszty leczenia i zniszczonej odzieży – 500 zł, zadośćuczynienie za krzywdę polegającą na odczuwaniu bólu i rozstroju zdrowia, a także niemożności pisania ( powód był profesorem prawa) przez 4 miesiące – 6000 zł, a także odszkodowanie za utratę możliwości bycia współautorem książki, którą to propozycję powód miał otrzymać na konferencji w Londynie, na którą był zaproszony, ale nie pojechał w związku z wypadkiem ( wylicza 6000 zł jako honorarium). Na dowód ostatniego powód przedłożył zaproszenie na konferencję, oraz egzemplarz książki sprzed 5 lat, gdzie był autorem 1 rozdziału. Rozważ, czy  wskazane żądania mogą być zasadne, przyjmując odpowiedzialność pozwanego. </w:t>
      </w:r>
    </w:p>
    <w:p w14:paraId="7D6E3F93" w14:textId="77777777" w:rsidR="001256BF" w:rsidRDefault="001256BF" w:rsidP="001256BF">
      <w:pPr>
        <w:rPr>
          <w:rFonts w:ascii="Bookman Old Style" w:hAnsi="Bookman Old Style" w:cs="Arial"/>
          <w:bCs/>
          <w:sz w:val="20"/>
          <w:szCs w:val="20"/>
        </w:rPr>
      </w:pPr>
    </w:p>
    <w:p w14:paraId="0989E823" w14:textId="52E16E91" w:rsidR="001256BF" w:rsidRDefault="00615CB3" w:rsidP="001256BF">
      <w:pPr>
        <w:rPr>
          <w:rFonts w:ascii="Bookman Old Style" w:hAnsi="Bookman Old Style" w:cs="Arial"/>
          <w:bCs/>
        </w:rPr>
      </w:pPr>
      <w:r>
        <w:rPr>
          <w:rFonts w:ascii="Bookman Old Style" w:hAnsi="Bookman Old Style" w:cs="Arial"/>
          <w:bCs/>
        </w:rPr>
        <w:t>40</w:t>
      </w:r>
      <w:r w:rsidR="001256BF">
        <w:rPr>
          <w:rFonts w:ascii="Bookman Old Style" w:hAnsi="Bookman Old Style" w:cs="Arial"/>
          <w:bCs/>
        </w:rPr>
        <w:t xml:space="preserve">. Alicja S. prowadząc działalność gospodarczą miała w 2000r. 2„operacyjne” konta bankowe, które zostały na okres 1 roku zajęte na skutek egzekucji prowadzonej przez Bank w K., który wystawił bankowy tytuł wykonawczy. Ostatecznie egzekucja została umorzona. Alicja S. wystąpiła przeciwko Bankowi w K. o odszkodowanie w kwocie 4 mln zł jako równowartości kwoty hipotetycznego przychodu za rok, w którym dokonano zajęcia kont, będącej szkodą z powodu utraty zdolności kredytowej z powodu zajęcia kont, powodującej utratę pozycji wśród kontrahentów. Argumentowała, że istotne jest samo przysługiwanie zdolności kredytowej, a nie z jakim efektem uprawniony czyni z tych praw pożytek. Strona pozwana zarzucała, że powódka nie wykazała szkody w rozumieniu art. 361 §1 i 2 </w:t>
      </w:r>
      <w:smartTag w:uri="lexAThandschemas/lexAThand" w:element="lexATakty">
        <w:smartTagPr>
          <w:attr w:name="ProductID" w:val="kc"/>
        </w:smartTagPr>
        <w:r w:rsidR="001256BF">
          <w:rPr>
            <w:rFonts w:ascii="Bookman Old Style" w:hAnsi="Bookman Old Style" w:cs="Arial"/>
            <w:bCs/>
          </w:rPr>
          <w:t>kc</w:t>
        </w:r>
      </w:smartTag>
      <w:r w:rsidR="001256BF">
        <w:rPr>
          <w:rFonts w:ascii="Bookman Old Style" w:hAnsi="Bookman Old Style" w:cs="Arial"/>
          <w:bCs/>
        </w:rPr>
        <w:t>.</w:t>
      </w:r>
    </w:p>
    <w:p w14:paraId="0A9B3267" w14:textId="77777777" w:rsidR="001256BF" w:rsidRDefault="001256BF" w:rsidP="001256BF">
      <w:pPr>
        <w:rPr>
          <w:rFonts w:ascii="Bookman Old Style" w:hAnsi="Bookman Old Style" w:cs="Arial"/>
          <w:bCs/>
          <w:sz w:val="20"/>
          <w:szCs w:val="20"/>
        </w:rPr>
      </w:pPr>
    </w:p>
    <w:p w14:paraId="7EE948EB" w14:textId="38D7A55B" w:rsidR="001256BF" w:rsidRDefault="00615CB3" w:rsidP="001256BF">
      <w:pPr>
        <w:rPr>
          <w:rFonts w:ascii="Bookman Old Style" w:hAnsi="Bookman Old Style" w:cs="Arial"/>
          <w:bCs/>
        </w:rPr>
      </w:pPr>
      <w:r>
        <w:rPr>
          <w:rFonts w:ascii="Bookman Old Style" w:hAnsi="Bookman Old Style" w:cs="Arial"/>
          <w:bCs/>
        </w:rPr>
        <w:t>41</w:t>
      </w:r>
      <w:r w:rsidR="001256BF">
        <w:rPr>
          <w:rFonts w:ascii="Bookman Old Style" w:hAnsi="Bookman Old Style" w:cs="Arial"/>
          <w:bCs/>
        </w:rPr>
        <w:t xml:space="preserve">. Waldemar F. prowadził motor, przewożąc do sklepu swego brata Grzegorza F. na jego prośbę. W czasie jazdy koło motoru wpadło w wyrwę w jezdni i pojazd przewrócił się, gdyż Waldemar F. z powodu braku doświadczenia nie zdołał nad nim zapanować. Skutkiem było złamanie ręki i nogi Grzegorza F. i jego trzykrotna hospitalizacja, oraz trwałe uszkodzenie. Ostatecznie pozwał on zakład ubezpieczeń, gdzie ubezpieczony był Waldemar F.o odszkodowanie. Biegli orzekli, że  wypadek był zawiniony w 20 % przez zachowanie kierowcy motoru, a w 80 % - przez dziurę w jezdni. Strona </w:t>
      </w:r>
      <w:r w:rsidR="001256BF">
        <w:rPr>
          <w:rFonts w:ascii="Bookman Old Style" w:hAnsi="Bookman Old Style" w:cs="Arial"/>
          <w:bCs/>
        </w:rPr>
        <w:lastRenderedPageBreak/>
        <w:t>pozwana zarzucała, że powinna odpowiadać tylko do 20 % wartości szkody  oraz że w procesie powinien występować współsprawca, to jest Zarząd Dróg, dla zasądzenia pozostałych 80 %. Wskaż, na jakiej podstawie, od kogo i w jakim rozmiarze Grzegorz F. może dochodzić odszkodowania.</w:t>
      </w:r>
    </w:p>
    <w:p w14:paraId="569F65B7" w14:textId="77777777" w:rsidR="001256BF" w:rsidRDefault="001256BF" w:rsidP="001256BF">
      <w:pPr>
        <w:tabs>
          <w:tab w:val="left" w:pos="2500"/>
          <w:tab w:val="left" w:pos="4000"/>
          <w:tab w:val="left" w:pos="6400"/>
          <w:tab w:val="left" w:pos="10500"/>
        </w:tabs>
        <w:rPr>
          <w:rFonts w:ascii="Bookman Old Style" w:hAnsi="Bookman Old Style" w:cs="Arial"/>
          <w:bCs/>
          <w:sz w:val="20"/>
          <w:szCs w:val="20"/>
        </w:rPr>
      </w:pPr>
    </w:p>
    <w:p w14:paraId="3C0E118C" w14:textId="58649D8B" w:rsidR="001256BF" w:rsidRDefault="00615CB3" w:rsidP="001256BF">
      <w:pPr>
        <w:tabs>
          <w:tab w:val="left" w:pos="2500"/>
          <w:tab w:val="left" w:pos="4000"/>
          <w:tab w:val="left" w:pos="6400"/>
          <w:tab w:val="left" w:pos="10500"/>
        </w:tabs>
        <w:rPr>
          <w:rFonts w:ascii="Bookman Old Style" w:hAnsi="Bookman Old Style" w:cs="Arial"/>
          <w:bCs/>
        </w:rPr>
      </w:pPr>
      <w:r>
        <w:rPr>
          <w:rFonts w:ascii="Bookman Old Style" w:hAnsi="Bookman Old Style" w:cs="Arial"/>
          <w:bCs/>
        </w:rPr>
        <w:t>42</w:t>
      </w:r>
      <w:r w:rsidR="001256BF">
        <w:rPr>
          <w:rFonts w:ascii="Bookman Old Style" w:hAnsi="Bookman Old Style" w:cs="Arial"/>
          <w:bCs/>
        </w:rPr>
        <w:t>. W noc świętojańską, 24.06.2000r. do mieszkania powoda na I piętrze dostali się nieznani sprawcy i okradli je, powodując szkodę w wys. 52 000 zł. Weszli oni po kratach obudowujących balkon, założonych w mieszkaniu na parterze należącym do Czesławy W. na balkon powoda i wypchnęli drzwi. Mieszkanie powoda było ubezpieczone od kradzieży i włamania  do górnej  granicy 30 000 zł. W pozwie przeciwko sąsiadce Czesławie W. powód domagał się zasądzenia różnicy między wypłaconą przez ubezpieczyciela kwotą a rzeczywistą szkodą, wskazując na fakt, iż kraty, jak się okazało, założone bez zezwolenia budowlanego i zgody właściciela budynku- ułatwiły złodziejom dostanie się na balkon powoda. Jakie powinno być rozstrzygnięcie sądu?</w:t>
      </w:r>
    </w:p>
    <w:p w14:paraId="02C3E933" w14:textId="77777777" w:rsidR="001256BF" w:rsidRDefault="001256BF" w:rsidP="001256BF">
      <w:pPr>
        <w:tabs>
          <w:tab w:val="left" w:pos="2500"/>
          <w:tab w:val="left" w:pos="4000"/>
          <w:tab w:val="left" w:pos="6400"/>
          <w:tab w:val="left" w:pos="10500"/>
        </w:tabs>
        <w:rPr>
          <w:rFonts w:ascii="Bookman Old Style" w:hAnsi="Bookman Old Style" w:cs="Arial"/>
          <w:bCs/>
          <w:sz w:val="20"/>
          <w:szCs w:val="20"/>
        </w:rPr>
      </w:pPr>
    </w:p>
    <w:p w14:paraId="30D60BFD" w14:textId="74CC15D1" w:rsidR="001256BF" w:rsidRDefault="00615CB3" w:rsidP="001256BF">
      <w:pPr>
        <w:tabs>
          <w:tab w:val="left" w:pos="2500"/>
          <w:tab w:val="left" w:pos="4000"/>
          <w:tab w:val="left" w:pos="6400"/>
          <w:tab w:val="left" w:pos="10500"/>
        </w:tabs>
        <w:rPr>
          <w:rFonts w:ascii="Bookman Old Style" w:hAnsi="Bookman Old Style" w:cs="Arial"/>
          <w:bCs/>
        </w:rPr>
      </w:pPr>
      <w:r>
        <w:rPr>
          <w:rFonts w:ascii="Bookman Old Style" w:hAnsi="Bookman Old Style" w:cs="Arial"/>
          <w:bCs/>
        </w:rPr>
        <w:t>43</w:t>
      </w:r>
      <w:r w:rsidR="001256BF">
        <w:rPr>
          <w:rFonts w:ascii="Bookman Old Style" w:hAnsi="Bookman Old Style" w:cs="Arial"/>
          <w:bCs/>
        </w:rPr>
        <w:t>.Od 2001r.na polu uprawnym  Jędrzeja S. kilka razy w roku powstawały rozlewiska stojącej wody. Wraz z nimi na pole przelewały  się w okresie 2001-2003r. z sąsiedniej rzeźni, z nieszczelnych szamb, nieczystości w postaci krwi oraz resztek zwierzęcych typu kości czy sierść. W 2004r. Jędrzej S. pozwał właściciela rzeźni o odszkodowanie za utratę zbiorów za 3 lata począwszy od 2001r., twierdząc, że zanieczyszczona stojąca woda  uniemożliwiła mu wjazd i  uprawę; pole cuchnie, resztki gniją. Pozwany, wnosząc o oddalenie powództwa, wykazał, że rzeźnia nie zużywa tyle wody, żeby spowodować powstanie rozlewisk, zaś przyczyną ich  jest podniesienie się poziomu wód gruntowych po zasypaniu rowu melioracyjnego przez sąsiada. Nie negował przedostawania się w w/w okresie z wodą gruntową odpadów z rzeźni, ale wskazał, że inni rolnicy biorą od niego odpady biologiczne jako nawóz do gleby. Rozważ odpowiedzialność pozwanego.</w:t>
      </w:r>
    </w:p>
    <w:p w14:paraId="1E96C72D" w14:textId="77777777" w:rsidR="001256BF" w:rsidRDefault="001256BF" w:rsidP="001256BF">
      <w:pPr>
        <w:tabs>
          <w:tab w:val="left" w:pos="2500"/>
          <w:tab w:val="left" w:pos="4000"/>
          <w:tab w:val="left" w:pos="6400"/>
          <w:tab w:val="left" w:pos="10500"/>
        </w:tabs>
        <w:rPr>
          <w:rFonts w:ascii="Bookman Old Style" w:hAnsi="Bookman Old Style" w:cs="Arial"/>
          <w:bCs/>
          <w:sz w:val="20"/>
          <w:szCs w:val="20"/>
        </w:rPr>
      </w:pPr>
    </w:p>
    <w:p w14:paraId="1963C0CC" w14:textId="3D1BA79E" w:rsidR="001256BF" w:rsidRDefault="00615CB3" w:rsidP="001256BF">
      <w:pPr>
        <w:tabs>
          <w:tab w:val="left" w:pos="2500"/>
          <w:tab w:val="left" w:pos="4000"/>
          <w:tab w:val="left" w:pos="6400"/>
          <w:tab w:val="left" w:pos="10500"/>
        </w:tabs>
        <w:rPr>
          <w:rFonts w:ascii="Bookman Old Style" w:hAnsi="Bookman Old Style" w:cs="Arial"/>
          <w:bCs/>
        </w:rPr>
      </w:pPr>
      <w:r>
        <w:rPr>
          <w:rFonts w:ascii="Bookman Old Style" w:hAnsi="Bookman Old Style" w:cs="Arial"/>
          <w:bCs/>
        </w:rPr>
        <w:t>44</w:t>
      </w:r>
      <w:r w:rsidR="001256BF">
        <w:rPr>
          <w:rFonts w:ascii="Bookman Old Style" w:hAnsi="Bookman Old Style" w:cs="Arial"/>
          <w:bCs/>
        </w:rPr>
        <w:t>. Powód domagał się od sprawcy wypadku Jana G. odszkodowania za koszty leczenia i zadośćuczynienia za krzywdę, z tytułu dwukrotnego złamania nogi z przemieszczeniem. Pierwsze nastąpiło wskutek wypadku. Leczenie wydłużyło się i koszty podwoiły na skutek  wtórnego złamania, którego powód doznał w szpitalu, na skutek upadku z powodu pęknięcia kuli, którą otrzymał do podpierania się. Rozważ, za co odpowiada sprawca.</w:t>
      </w:r>
    </w:p>
    <w:p w14:paraId="22E81579" w14:textId="77777777" w:rsidR="001256BF" w:rsidRDefault="001256BF" w:rsidP="001256BF">
      <w:pPr>
        <w:tabs>
          <w:tab w:val="left" w:pos="2500"/>
          <w:tab w:val="left" w:pos="4000"/>
          <w:tab w:val="left" w:pos="6400"/>
          <w:tab w:val="left" w:pos="10500"/>
        </w:tabs>
        <w:rPr>
          <w:rFonts w:ascii="Bookman Old Style" w:hAnsi="Bookman Old Style" w:cs="Arial"/>
          <w:bCs/>
          <w:sz w:val="20"/>
          <w:szCs w:val="20"/>
        </w:rPr>
      </w:pPr>
    </w:p>
    <w:p w14:paraId="3C8C81BF" w14:textId="77777777" w:rsidR="001256BF" w:rsidRDefault="001256BF" w:rsidP="001256BF">
      <w:pPr>
        <w:tabs>
          <w:tab w:val="left" w:pos="2500"/>
          <w:tab w:val="left" w:pos="4000"/>
          <w:tab w:val="left" w:pos="6400"/>
          <w:tab w:val="left" w:pos="10500"/>
        </w:tabs>
        <w:rPr>
          <w:rFonts w:ascii="Bookman Old Style" w:hAnsi="Bookman Old Style" w:cs="Arial"/>
          <w:bCs/>
        </w:rPr>
      </w:pPr>
    </w:p>
    <w:p w14:paraId="755A5E77" w14:textId="77777777" w:rsidR="001256BF" w:rsidRDefault="001256BF" w:rsidP="001256BF">
      <w:pPr>
        <w:tabs>
          <w:tab w:val="left" w:pos="2500"/>
          <w:tab w:val="left" w:pos="4000"/>
          <w:tab w:val="left" w:pos="6400"/>
          <w:tab w:val="left" w:pos="10500"/>
        </w:tabs>
        <w:rPr>
          <w:rFonts w:ascii="Bookman Old Style" w:hAnsi="Bookman Old Style" w:cs="Arial"/>
          <w:bCs/>
        </w:rPr>
      </w:pPr>
      <w:r>
        <w:rPr>
          <w:rFonts w:ascii="Bookman Old Style" w:hAnsi="Bookman Old Style" w:cs="Arial"/>
          <w:b/>
          <w:bCs/>
        </w:rPr>
        <w:t>Odpowiedzialność za cudze czyny, zwierzęta, rzeczy; małoletni/10/.</w:t>
      </w:r>
    </w:p>
    <w:p w14:paraId="26E6F285" w14:textId="77777777" w:rsidR="001256BF" w:rsidRDefault="001256BF" w:rsidP="001256BF">
      <w:pPr>
        <w:tabs>
          <w:tab w:val="left" w:pos="2500"/>
          <w:tab w:val="left" w:pos="4000"/>
          <w:tab w:val="left" w:pos="6400"/>
          <w:tab w:val="left" w:pos="10500"/>
        </w:tabs>
        <w:rPr>
          <w:rFonts w:ascii="Bookman Old Style" w:hAnsi="Bookman Old Style" w:cs="Arial"/>
          <w:b/>
          <w:bCs/>
          <w:sz w:val="20"/>
          <w:szCs w:val="20"/>
        </w:rPr>
      </w:pPr>
    </w:p>
    <w:p w14:paraId="04F29264" w14:textId="77777777" w:rsidR="001256BF" w:rsidRDefault="001256BF" w:rsidP="001256BF">
      <w:pPr>
        <w:tabs>
          <w:tab w:val="left" w:pos="2500"/>
          <w:tab w:val="left" w:pos="4000"/>
          <w:tab w:val="left" w:pos="6400"/>
          <w:tab w:val="left" w:pos="10500"/>
        </w:tabs>
        <w:rPr>
          <w:rFonts w:ascii="Bookman Old Style" w:hAnsi="Bookman Old Style" w:cs="Arial"/>
          <w:bCs/>
          <w:sz w:val="20"/>
          <w:szCs w:val="20"/>
        </w:rPr>
      </w:pPr>
    </w:p>
    <w:p w14:paraId="68E6B109" w14:textId="02CA32E0" w:rsidR="001256BF" w:rsidRDefault="00615CB3" w:rsidP="001256BF">
      <w:pPr>
        <w:tabs>
          <w:tab w:val="left" w:pos="2500"/>
          <w:tab w:val="left" w:pos="4000"/>
          <w:tab w:val="left" w:pos="6400"/>
          <w:tab w:val="left" w:pos="10500"/>
        </w:tabs>
        <w:rPr>
          <w:rFonts w:ascii="Bookman Old Style" w:hAnsi="Bookman Old Style" w:cs="Arial"/>
          <w:bCs/>
        </w:rPr>
      </w:pPr>
      <w:r>
        <w:rPr>
          <w:rFonts w:ascii="Bookman Old Style" w:hAnsi="Bookman Old Style" w:cs="Arial"/>
          <w:bCs/>
        </w:rPr>
        <w:t>45</w:t>
      </w:r>
      <w:r w:rsidR="001256BF">
        <w:rPr>
          <w:rFonts w:ascii="Bookman Old Style" w:hAnsi="Bookman Old Style" w:cs="Arial"/>
          <w:bCs/>
        </w:rPr>
        <w:t xml:space="preserve">. 8 letni Marek N. wyszedł na trzepak przed blokiem, w momencie, gdy jego ojciec, spacerujący z nim,  poszedł do sklepu obok. Trzepak, mimo osadzenia go w betonowym chodniku – przewrócił się razem z małoletnim, który doznał poważnego urazu głowy. Rodzice małoletniego dochodzą od Spółdzielni Mieszkaniowej w L. odszkodowania wobec  niedbalstwa w osadzeniu trzepaka, który był ciężką i metalową konstrukcją. Strona pozwana podnosi przyczynienie się małoletniego, który wyszedł na trzepak, </w:t>
      </w:r>
      <w:r w:rsidR="001256BF">
        <w:rPr>
          <w:rFonts w:ascii="Bookman Old Style" w:hAnsi="Bookman Old Style" w:cs="Arial"/>
          <w:bCs/>
        </w:rPr>
        <w:lastRenderedPageBreak/>
        <w:t>choć nie powinien, oraz przyczynienie się ojca małoletniego poprzez brak nadzoru. Oceń stanowiska stron.</w:t>
      </w:r>
    </w:p>
    <w:p w14:paraId="752294A3" w14:textId="77777777" w:rsidR="001256BF" w:rsidRDefault="001256BF" w:rsidP="001256BF">
      <w:pPr>
        <w:tabs>
          <w:tab w:val="left" w:pos="2500"/>
          <w:tab w:val="left" w:pos="4000"/>
          <w:tab w:val="left" w:pos="6400"/>
          <w:tab w:val="left" w:pos="10500"/>
        </w:tabs>
        <w:rPr>
          <w:rFonts w:ascii="Bookman Old Style" w:hAnsi="Bookman Old Style" w:cs="Arial"/>
          <w:bCs/>
          <w:sz w:val="20"/>
          <w:szCs w:val="20"/>
        </w:rPr>
      </w:pPr>
    </w:p>
    <w:p w14:paraId="4AAD2068" w14:textId="573EE989" w:rsidR="001256BF" w:rsidRDefault="00615CB3" w:rsidP="001256BF">
      <w:pPr>
        <w:tabs>
          <w:tab w:val="left" w:pos="2500"/>
          <w:tab w:val="left" w:pos="4000"/>
          <w:tab w:val="left" w:pos="6400"/>
          <w:tab w:val="left" w:pos="10500"/>
        </w:tabs>
        <w:rPr>
          <w:rFonts w:ascii="Bookman Old Style" w:hAnsi="Bookman Old Style" w:cs="Arial"/>
          <w:bCs/>
        </w:rPr>
      </w:pPr>
      <w:r>
        <w:rPr>
          <w:rFonts w:ascii="Bookman Old Style" w:hAnsi="Bookman Old Style" w:cs="Arial"/>
          <w:bCs/>
        </w:rPr>
        <w:t>46</w:t>
      </w:r>
      <w:r w:rsidR="001256BF">
        <w:rPr>
          <w:rFonts w:ascii="Bookman Old Style" w:hAnsi="Bookman Old Style" w:cs="Arial"/>
          <w:bCs/>
        </w:rPr>
        <w:t>. Dwoje 16-latków po wyjściu z pubu zostało zaczepionych przez Leona Z., l.21, ogromnej postury. Wywiązała się słowna sprzeczka, w trakcie której Leon Z. groził Michałowi B., jednemu z chłopców, pokazując kaburę pistoletu. W odpowiedzi przerażony chłopak uderzył wyrzutem głowy do przodu Leona Z. w twarz i uciekł w szoku. Okazało się później, że pęknięte w czasie uderzenia szkło okularów Leona Z. uszkodziło mu rogówkę i na trwałe upośledziło to widzenie jednym okiem. Leon Z. pozwał rodziców małoletniego oraz  osobno Michała B. reprezentowanego przez rodziców o zapłatę 100 000 zł odszkodowania za utratę wzroku; w procesie wykazywał jedynie wysokość szkody, twierdząc, że został zaatakowany; sąd ustalił stan faktyczny j.w. Wskaż, jakie powinno być rozstrzygnięcie sądu.</w:t>
      </w:r>
    </w:p>
    <w:p w14:paraId="6EC124E6" w14:textId="77777777" w:rsidR="001256BF" w:rsidRDefault="001256BF" w:rsidP="001256BF">
      <w:pPr>
        <w:tabs>
          <w:tab w:val="left" w:pos="2500"/>
          <w:tab w:val="left" w:pos="4000"/>
          <w:tab w:val="left" w:pos="6400"/>
          <w:tab w:val="left" w:pos="10500"/>
        </w:tabs>
        <w:rPr>
          <w:rFonts w:ascii="Bookman Old Style" w:hAnsi="Bookman Old Style" w:cs="Arial"/>
          <w:bCs/>
          <w:sz w:val="20"/>
          <w:szCs w:val="20"/>
        </w:rPr>
      </w:pPr>
    </w:p>
    <w:p w14:paraId="02B173B6" w14:textId="7E77C40D" w:rsidR="001256BF" w:rsidRDefault="00615CB3" w:rsidP="001256BF">
      <w:pPr>
        <w:tabs>
          <w:tab w:val="left" w:pos="2500"/>
          <w:tab w:val="left" w:pos="4000"/>
          <w:tab w:val="left" w:pos="6400"/>
          <w:tab w:val="left" w:pos="10500"/>
        </w:tabs>
        <w:rPr>
          <w:rFonts w:ascii="Bookman Old Style" w:hAnsi="Bookman Old Style" w:cs="Arial"/>
          <w:bCs/>
        </w:rPr>
      </w:pPr>
      <w:r>
        <w:rPr>
          <w:rFonts w:ascii="Bookman Old Style" w:hAnsi="Bookman Old Style" w:cs="Arial"/>
          <w:bCs/>
        </w:rPr>
        <w:t>47</w:t>
      </w:r>
      <w:r w:rsidR="001256BF">
        <w:rPr>
          <w:rFonts w:ascii="Bookman Old Style" w:hAnsi="Bookman Old Style" w:cs="Arial"/>
          <w:bCs/>
        </w:rPr>
        <w:t>. Karol Ł. domagał się od 10-letniego Marka B., właściciela posesji, odszkodowania za uszkodzenie motoru, na który spadł w czasie silnej wichury fragment dachu budynku. Przedstawiciele ustawowi Marka B. zarzucali, że jako małoletni poniżej lat 13 nie odpowiada za szkodę, ponadto  spowodowała ją wichura. Rozważ zasadność obrony.</w:t>
      </w:r>
    </w:p>
    <w:p w14:paraId="6CB0ACCF" w14:textId="77777777" w:rsidR="001256BF" w:rsidRDefault="001256BF" w:rsidP="001256BF">
      <w:pPr>
        <w:tabs>
          <w:tab w:val="left" w:pos="2500"/>
          <w:tab w:val="left" w:pos="4000"/>
          <w:tab w:val="left" w:pos="6400"/>
          <w:tab w:val="left" w:pos="10500"/>
        </w:tabs>
        <w:rPr>
          <w:rFonts w:ascii="Bookman Old Style" w:hAnsi="Bookman Old Style" w:cs="Arial"/>
          <w:bCs/>
          <w:sz w:val="20"/>
          <w:szCs w:val="20"/>
        </w:rPr>
      </w:pPr>
    </w:p>
    <w:p w14:paraId="50E27B09" w14:textId="4BE9B396" w:rsidR="001256BF" w:rsidRDefault="00CB0AA3" w:rsidP="001256BF">
      <w:pPr>
        <w:tabs>
          <w:tab w:val="left" w:pos="2500"/>
          <w:tab w:val="left" w:pos="4000"/>
          <w:tab w:val="left" w:pos="6400"/>
          <w:tab w:val="left" w:pos="10500"/>
        </w:tabs>
        <w:rPr>
          <w:rFonts w:ascii="Bookman Old Style" w:hAnsi="Bookman Old Style" w:cs="Arial"/>
          <w:bCs/>
        </w:rPr>
      </w:pPr>
      <w:r>
        <w:rPr>
          <w:rFonts w:ascii="Bookman Old Style" w:hAnsi="Bookman Old Style" w:cs="Arial"/>
          <w:bCs/>
        </w:rPr>
        <w:t>48</w:t>
      </w:r>
      <w:r w:rsidR="001256BF">
        <w:rPr>
          <w:rFonts w:ascii="Bookman Old Style" w:hAnsi="Bookman Old Style" w:cs="Arial"/>
          <w:bCs/>
        </w:rPr>
        <w:t>. 12- letni Wojciech S. i jego 10- letnia siostra Elwira S. bawili się na podwórku domu sąsiada, Jana W. bez jego wiedzy i zgody. W pewnym momencie Wojciech S. schował się za koło stojącego ciągnika; gdy ciągnik ruszył, najechał na małoletniego, powodując obrażenia. Rodzice dochodzili od posiadacza ciągnika, Jana W. odszkodowania w kwocie 50 000 zł. Biegli stwierdzili, że kierowca nie miał żadnych szans uniknąć wypadku. Zaprojektuj orzeczenie.</w:t>
      </w:r>
    </w:p>
    <w:p w14:paraId="1B96E02A" w14:textId="77777777" w:rsidR="001256BF" w:rsidRDefault="001256BF" w:rsidP="001256BF">
      <w:pPr>
        <w:pStyle w:val="Tekstpodstawowy"/>
      </w:pPr>
    </w:p>
    <w:p w14:paraId="06226136" w14:textId="0F5166A5" w:rsidR="001256BF" w:rsidRDefault="00CB0AA3" w:rsidP="001256BF">
      <w:pPr>
        <w:pStyle w:val="Tekstpodstawowy"/>
      </w:pPr>
      <w:r>
        <w:t>49</w:t>
      </w:r>
      <w:r w:rsidR="001256BF">
        <w:t>.11-letni Roman K. biegając po korytarzu w czasie przerwy popchnął kolegę Adama W.  tak niefortunnie, że spadł on ze schodów na podest, doznając urazu głowy i złamania nadgarstka prawej ręki. Adam W.przebywał w szpitalu 10  dni z podejrzeniem wstrząsu mózgu; po 3 tygodniach natomiast rozpoczął rehabilitację ręki po zdjęciu gipsu. Rodzice Romana K. pozwali Gminę w L.o odszkodowanie 2000 zł z tytułu zwrotu kosztów leczenia i o  ustalenie odpowiedzialności na przyszłość, zarzucając, że dokładne skutki wypadku nie są znane.Gmina wskazywała, że Roman K. jest uczniem nadpobudliwym i leczącym się z tego powodu, a nadto, że nauczyciel dyżurny nie może monitorować kilkudziesięciu uczniów na przerwie. Wskaż podstawy rozstrzygnięcia i w ich świetle  oceń zarzuty Gminy.</w:t>
      </w:r>
    </w:p>
    <w:p w14:paraId="6FF7FFB3" w14:textId="77777777" w:rsidR="001256BF" w:rsidRDefault="001256BF" w:rsidP="001256BF">
      <w:pPr>
        <w:autoSpaceDE w:val="0"/>
        <w:autoSpaceDN w:val="0"/>
        <w:adjustRightInd w:val="0"/>
        <w:rPr>
          <w:rFonts w:ascii="Bookman Old Style" w:hAnsi="Bookman Old Style" w:cs="Courier New"/>
          <w:color w:val="000000"/>
          <w:sz w:val="20"/>
        </w:rPr>
      </w:pPr>
    </w:p>
    <w:p w14:paraId="181960E1" w14:textId="7A27DEC0" w:rsidR="001256BF" w:rsidRDefault="00CB0AA3" w:rsidP="001256BF">
      <w:pPr>
        <w:autoSpaceDE w:val="0"/>
        <w:autoSpaceDN w:val="0"/>
        <w:adjustRightInd w:val="0"/>
        <w:rPr>
          <w:rFonts w:ascii="Bookman Old Style" w:hAnsi="Bookman Old Style" w:cs="Courier New"/>
          <w:color w:val="000000"/>
        </w:rPr>
      </w:pPr>
      <w:r>
        <w:rPr>
          <w:rFonts w:ascii="Bookman Old Style" w:hAnsi="Bookman Old Style" w:cs="Courier New"/>
          <w:color w:val="000000"/>
        </w:rPr>
        <w:t>50</w:t>
      </w:r>
      <w:r w:rsidR="001256BF">
        <w:rPr>
          <w:rFonts w:ascii="Bookman Old Style" w:hAnsi="Bookman Old Style" w:cs="Courier New"/>
          <w:color w:val="000000"/>
        </w:rPr>
        <w:t xml:space="preserve">. Jan W.  biegając w parku został znienacka zaatakowany i pogryziony w nogę przez psa jamnika. Leczenie polegało na opatrzeniu rany, ale także na przyjęciu bolesnego szczepienia przeciwtężcowego; nadto z powodu naruszenia nerwu odczuwał on dolegliwości przez 1 miesiąc. W pozwie domagał się zadośćuczynienia za krzywdę w kwocie 2000 zł od Pawła L., który był z psem w parku na spacerze. Paweł L. podnosił: 1/ brak legitymacji biernej z uwagi na fakt, że właścicielem psa wg dokumentów jest jego matka rencistka I grupy inwalidzkiej ( lat 78, nie chodząca), a także 2/iż jest </w:t>
      </w:r>
      <w:r w:rsidR="001256BF">
        <w:rPr>
          <w:rFonts w:ascii="Bookman Old Style" w:hAnsi="Bookman Old Style" w:cs="Courier New"/>
          <w:color w:val="000000"/>
        </w:rPr>
        <w:lastRenderedPageBreak/>
        <w:t>bezrobotny, bez środków utrzymania. Wnosił o oddalenie powództwa. Sąd ustalił, że tak jest istotnie, oraz że pozwany z matką mieszkają wspólnie. Oceń skuteczność obu  zarzutów.</w:t>
      </w:r>
    </w:p>
    <w:p w14:paraId="20A64C1E" w14:textId="77777777" w:rsidR="001256BF" w:rsidRDefault="001256BF" w:rsidP="001256BF">
      <w:pPr>
        <w:pStyle w:val="Tekstprzypisukocowego"/>
        <w:tabs>
          <w:tab w:val="left" w:pos="2500"/>
          <w:tab w:val="left" w:pos="4000"/>
          <w:tab w:val="left" w:pos="6400"/>
          <w:tab w:val="left" w:pos="10500"/>
        </w:tabs>
        <w:rPr>
          <w:rFonts w:ascii="Bookman Old Style" w:hAnsi="Bookman Old Style"/>
          <w:sz w:val="18"/>
        </w:rPr>
      </w:pPr>
    </w:p>
    <w:p w14:paraId="26C2CD1A" w14:textId="2805B36C" w:rsidR="001256BF" w:rsidRDefault="00CB0AA3" w:rsidP="001256BF">
      <w:pPr>
        <w:pStyle w:val="Tekstprzypisukocowego"/>
        <w:tabs>
          <w:tab w:val="left" w:pos="2500"/>
          <w:tab w:val="left" w:pos="4000"/>
          <w:tab w:val="left" w:pos="6400"/>
          <w:tab w:val="left" w:pos="10500"/>
        </w:tabs>
        <w:rPr>
          <w:rFonts w:ascii="Bookman Old Style" w:hAnsi="Bookman Old Style"/>
          <w:sz w:val="24"/>
        </w:rPr>
      </w:pPr>
      <w:r>
        <w:rPr>
          <w:rFonts w:ascii="Bookman Old Style" w:hAnsi="Bookman Old Style"/>
          <w:sz w:val="24"/>
        </w:rPr>
        <w:t>51</w:t>
      </w:r>
      <w:r w:rsidR="001256BF">
        <w:rPr>
          <w:rFonts w:ascii="Bookman Old Style" w:hAnsi="Bookman Old Style"/>
          <w:sz w:val="24"/>
        </w:rPr>
        <w:t>. Spółdzielnia Mieszkaniowa w G. zawarła umowę z Józefem C. właścicielem i prowadzącym Przedsiębiorstwo Specjalistycznego Oczyszczania -  zobowiązując go do należytego utrzymania w zimie dróg osiedlowych. Po zimie 2005r. Janina Z. wystąpiła z pozwem przeciwko Spółdzielni o zapłatę odszkodowania i zadośćuczynienia w kwocie 80 000 zł wobec poślizgnięcia się na zupełnie zalodzonym osiedlowym chodniku, upadku  i uszkodzenia biodra, co zakończyło się operacją wstawienia endoprotezy. Spółdzielnia wniosła o oddalenie powództwa z uwagi na brak legitymacji biernej, wskazując na oczywiste  zaniedbanie przedsiębiorstwa Józefa C. Proszę rozstrzygnąć sprawę.</w:t>
      </w:r>
    </w:p>
    <w:p w14:paraId="1A432CBF" w14:textId="77777777" w:rsidR="001256BF" w:rsidRDefault="001256BF" w:rsidP="001256BF">
      <w:pPr>
        <w:pStyle w:val="Tekstprzypisukocowego"/>
        <w:tabs>
          <w:tab w:val="left" w:pos="2500"/>
          <w:tab w:val="left" w:pos="4000"/>
          <w:tab w:val="left" w:pos="6400"/>
          <w:tab w:val="left" w:pos="10500"/>
        </w:tabs>
        <w:rPr>
          <w:rFonts w:ascii="Bookman Old Style" w:hAnsi="Bookman Old Style"/>
          <w:sz w:val="18"/>
        </w:rPr>
      </w:pPr>
      <w:r>
        <w:rPr>
          <w:rFonts w:ascii="Bookman Old Style" w:hAnsi="Bookman Old Style"/>
          <w:sz w:val="18"/>
        </w:rPr>
        <w:t>.</w:t>
      </w:r>
    </w:p>
    <w:p w14:paraId="1E186E1C" w14:textId="77777777" w:rsidR="001256BF" w:rsidRDefault="001256BF" w:rsidP="001256BF">
      <w:pPr>
        <w:pStyle w:val="Tekstprzypisukocowego"/>
        <w:tabs>
          <w:tab w:val="left" w:pos="2500"/>
          <w:tab w:val="left" w:pos="4000"/>
          <w:tab w:val="left" w:pos="6400"/>
          <w:tab w:val="left" w:pos="10500"/>
        </w:tabs>
        <w:rPr>
          <w:rFonts w:ascii="Bookman Old Style" w:hAnsi="Bookman Old Style"/>
          <w:sz w:val="18"/>
        </w:rPr>
      </w:pPr>
    </w:p>
    <w:p w14:paraId="2A44F008" w14:textId="70173727" w:rsidR="001256BF" w:rsidRDefault="00CB0AA3" w:rsidP="001256BF">
      <w:pPr>
        <w:pStyle w:val="Tekstprzypisukocowego"/>
        <w:tabs>
          <w:tab w:val="left" w:pos="2500"/>
          <w:tab w:val="left" w:pos="4000"/>
          <w:tab w:val="left" w:pos="6400"/>
          <w:tab w:val="left" w:pos="10500"/>
        </w:tabs>
        <w:rPr>
          <w:rFonts w:ascii="Bookman Old Style" w:hAnsi="Bookman Old Style"/>
          <w:sz w:val="24"/>
        </w:rPr>
      </w:pPr>
      <w:r>
        <w:rPr>
          <w:rFonts w:ascii="Bookman Old Style" w:hAnsi="Bookman Old Style"/>
          <w:sz w:val="24"/>
        </w:rPr>
        <w:t>52</w:t>
      </w:r>
      <w:r w:rsidR="001256BF">
        <w:rPr>
          <w:rFonts w:ascii="Bookman Old Style" w:hAnsi="Bookman Old Style"/>
          <w:sz w:val="24"/>
        </w:rPr>
        <w:t>. Szkoła Języków Obcych – Spółka z o.o. zakupiła i  wyremontowała starą kamienicę. Po remoncie przeprowadzonym przez Zakład Remontowo-Budowlany rozpoczęła działalność. W kwietniu 2004r., w czasie porywistego wiatru, spadły z dachu dachówki i uszkodziły stojący opodal motocykl. Przy badaniu dachu okazało się, że dachówki nie zostały prawidłowo osadzone.  Właściciel motoru domagał się odszkodowania od Szkoły Językowej i od Zakładu Remontowo- Budowlanego solidarnie. Szkoła jako pozwany broniła się twierdzeniem, że tego dnia była wichura; niezależnie od tego-  wykonanie remontu powierzyła specjaliście i nie może odpowiadać za jego zaniedbania. Kto i z jakiej podstawy prawnej  powinien odpowiadać za szkodę?</w:t>
      </w:r>
    </w:p>
    <w:p w14:paraId="31B91DCD" w14:textId="77777777" w:rsidR="001256BF" w:rsidRDefault="001256BF" w:rsidP="001256BF">
      <w:pPr>
        <w:pStyle w:val="Tekstprzypisukocowego"/>
        <w:tabs>
          <w:tab w:val="left" w:pos="2500"/>
          <w:tab w:val="left" w:pos="4000"/>
          <w:tab w:val="left" w:pos="6400"/>
          <w:tab w:val="left" w:pos="10500"/>
        </w:tabs>
        <w:rPr>
          <w:rFonts w:ascii="Bookman Old Style" w:hAnsi="Bookman Old Style"/>
          <w:sz w:val="18"/>
        </w:rPr>
      </w:pPr>
    </w:p>
    <w:p w14:paraId="25B91279" w14:textId="6A4C071A" w:rsidR="001256BF" w:rsidRDefault="00CB0AA3" w:rsidP="001256BF">
      <w:pPr>
        <w:pStyle w:val="Tekstprzypisukocowego"/>
        <w:tabs>
          <w:tab w:val="left" w:pos="2500"/>
          <w:tab w:val="left" w:pos="4000"/>
          <w:tab w:val="left" w:pos="6400"/>
          <w:tab w:val="left" w:pos="10500"/>
        </w:tabs>
        <w:rPr>
          <w:rFonts w:ascii="Bookman Old Style" w:hAnsi="Bookman Old Style"/>
          <w:sz w:val="24"/>
        </w:rPr>
      </w:pPr>
      <w:r>
        <w:rPr>
          <w:rFonts w:ascii="Bookman Old Style" w:hAnsi="Bookman Old Style"/>
          <w:sz w:val="24"/>
        </w:rPr>
        <w:t>53</w:t>
      </w:r>
      <w:r w:rsidR="001256BF">
        <w:rPr>
          <w:rFonts w:ascii="Bookman Old Style" w:hAnsi="Bookman Old Style"/>
          <w:sz w:val="24"/>
        </w:rPr>
        <w:t>. 17-letni Piotr B., będąc  pod wpływem narkotyku ( amfetamina) i działając  w stanie zakłócenia czynności psychicznych– w trakcie pobytu na dyskotece pobił Jana C. który doznał złamania ręki. Jan C. pozwał małoletniego działającego przez rodziców o odszkodowanie 15 000 zł. wskazując, że Piotr B. jest wystarczająco dorosły dla oceny, co powodują narkotyki. Piotr B. zarzucił, że do zażycia tabletki został nakłoniony pod presją przez kolegę, który powiedział mu, że to dla pobudzenia. Sąd ustalił, że  jest on dojrzałym, inteligentnym  uczniem wielkomiejskiej szkoły i że był to jego pierwszy pobyt na dyskotece, a do zażycia środka został nakłoniony przez kolegów „dla hecy”. Proszę wskazać rozstrzygnięcie.</w:t>
      </w:r>
    </w:p>
    <w:p w14:paraId="48066CFF" w14:textId="77777777" w:rsidR="001256BF" w:rsidRDefault="001256BF" w:rsidP="001256BF">
      <w:pPr>
        <w:pStyle w:val="Tekstprzypisukocowego"/>
        <w:tabs>
          <w:tab w:val="left" w:pos="2500"/>
          <w:tab w:val="left" w:pos="4000"/>
          <w:tab w:val="left" w:pos="6400"/>
          <w:tab w:val="left" w:pos="10500"/>
        </w:tabs>
        <w:rPr>
          <w:rFonts w:ascii="Bookman Old Style" w:hAnsi="Bookman Old Style"/>
        </w:rPr>
      </w:pPr>
    </w:p>
    <w:p w14:paraId="39903F97" w14:textId="348A03A4" w:rsidR="001256BF" w:rsidRDefault="00CB0AA3" w:rsidP="001256BF">
      <w:pPr>
        <w:pStyle w:val="Tekstprzypisukocowego"/>
        <w:tabs>
          <w:tab w:val="left" w:pos="2500"/>
          <w:tab w:val="left" w:pos="4000"/>
          <w:tab w:val="left" w:pos="6400"/>
          <w:tab w:val="left" w:pos="10500"/>
        </w:tabs>
        <w:rPr>
          <w:rFonts w:ascii="Bookman Old Style" w:hAnsi="Bookman Old Style"/>
          <w:sz w:val="24"/>
        </w:rPr>
      </w:pPr>
      <w:r>
        <w:rPr>
          <w:rFonts w:ascii="Bookman Old Style" w:hAnsi="Bookman Old Style"/>
          <w:sz w:val="24"/>
        </w:rPr>
        <w:t>54</w:t>
      </w:r>
      <w:r w:rsidR="001256BF">
        <w:rPr>
          <w:rFonts w:ascii="Bookman Old Style" w:hAnsi="Bookman Old Style"/>
          <w:sz w:val="24"/>
        </w:rPr>
        <w:t>. Sabina G. domagała się zasądzenia odszkodowania w kwocie 1000 zł jako kosztu wymiany części parkietu i odmalowania ścian – od najemcy lokalu piętro wyżej – Witolda S. W dniu 13.06.</w:t>
      </w:r>
      <w:r w:rsidR="008E5E0B">
        <w:rPr>
          <w:rFonts w:ascii="Bookman Old Style" w:hAnsi="Bookman Old Style"/>
          <w:sz w:val="24"/>
        </w:rPr>
        <w:t>2</w:t>
      </w:r>
      <w:r w:rsidR="001256BF">
        <w:rPr>
          <w:rFonts w:ascii="Bookman Old Style" w:hAnsi="Bookman Old Style"/>
          <w:sz w:val="24"/>
        </w:rPr>
        <w:t>3r. zastała zalane mieszkanie i ustaliła, że szkoda zaistniała na skutek przelania się wody z lokalu wyżej, co wystarcza do odpowiedzialności zajmującego pomieszczenie. Witold S. wniósł o oddalenie powództwa, wskazując na fakt, że podczas jego pobytu w pracy doszło do pęknięcia rury CO w zajmowanym przez niego lokalu, za co on żadnej odpowiedzialności nie ponosi. Proszę podać rozstrzygnięcie.</w:t>
      </w:r>
    </w:p>
    <w:p w14:paraId="6DE44C3C" w14:textId="77777777" w:rsidR="001256BF" w:rsidRDefault="001256BF" w:rsidP="001256BF">
      <w:pPr>
        <w:pStyle w:val="Tekstprzypisukocowego"/>
        <w:tabs>
          <w:tab w:val="left" w:pos="2500"/>
          <w:tab w:val="left" w:pos="4000"/>
          <w:tab w:val="left" w:pos="6400"/>
          <w:tab w:val="left" w:pos="10500"/>
        </w:tabs>
        <w:rPr>
          <w:rFonts w:ascii="Bookman Old Style" w:hAnsi="Bookman Old Style"/>
          <w:sz w:val="18"/>
        </w:rPr>
      </w:pPr>
    </w:p>
    <w:p w14:paraId="6A4D8577" w14:textId="77777777" w:rsidR="001256BF" w:rsidRDefault="001256BF" w:rsidP="001256BF">
      <w:pPr>
        <w:pStyle w:val="Tekstprzypisukocowego"/>
        <w:tabs>
          <w:tab w:val="left" w:pos="2500"/>
          <w:tab w:val="left" w:pos="4000"/>
          <w:tab w:val="left" w:pos="6400"/>
          <w:tab w:val="left" w:pos="10500"/>
        </w:tabs>
        <w:rPr>
          <w:rFonts w:ascii="Bookman Old Style" w:hAnsi="Bookman Old Style"/>
          <w:b/>
          <w:bCs/>
          <w:sz w:val="24"/>
        </w:rPr>
      </w:pPr>
      <w:r>
        <w:rPr>
          <w:rFonts w:ascii="Bookman Old Style" w:hAnsi="Bookman Old Style"/>
          <w:b/>
          <w:bCs/>
          <w:sz w:val="24"/>
        </w:rPr>
        <w:t>Szkody na osobie, przedawnienie, funkcjonariusz publiczny/9/.</w:t>
      </w:r>
    </w:p>
    <w:p w14:paraId="3B06272F" w14:textId="77777777" w:rsidR="001256BF" w:rsidRDefault="001256BF" w:rsidP="001256BF">
      <w:pPr>
        <w:pStyle w:val="Tekstprzypisukocowego"/>
        <w:tabs>
          <w:tab w:val="left" w:pos="2500"/>
          <w:tab w:val="left" w:pos="4000"/>
          <w:tab w:val="left" w:pos="6400"/>
          <w:tab w:val="left" w:pos="10500"/>
        </w:tabs>
        <w:rPr>
          <w:rFonts w:ascii="Bookman Old Style" w:hAnsi="Bookman Old Style"/>
          <w:b/>
          <w:bCs/>
          <w:sz w:val="24"/>
        </w:rPr>
      </w:pPr>
    </w:p>
    <w:p w14:paraId="761A00B3" w14:textId="0C5C026A" w:rsidR="001256BF" w:rsidRDefault="00CB0AA3" w:rsidP="001256BF">
      <w:pPr>
        <w:pStyle w:val="Tekstprzypisukocowego"/>
        <w:tabs>
          <w:tab w:val="left" w:pos="2500"/>
          <w:tab w:val="left" w:pos="4000"/>
          <w:tab w:val="left" w:pos="6400"/>
          <w:tab w:val="left" w:pos="10500"/>
        </w:tabs>
        <w:rPr>
          <w:rFonts w:ascii="Bookman Old Style" w:hAnsi="Bookman Old Style"/>
          <w:sz w:val="24"/>
        </w:rPr>
      </w:pPr>
      <w:r>
        <w:rPr>
          <w:rFonts w:ascii="Bookman Old Style" w:hAnsi="Bookman Old Style"/>
          <w:bCs/>
          <w:sz w:val="24"/>
        </w:rPr>
        <w:t>55</w:t>
      </w:r>
      <w:r w:rsidR="001256BF">
        <w:rPr>
          <w:rFonts w:ascii="Bookman Old Style" w:hAnsi="Bookman Old Style"/>
          <w:bCs/>
          <w:sz w:val="24"/>
        </w:rPr>
        <w:t>.</w:t>
      </w:r>
      <w:r w:rsidR="001256BF">
        <w:rPr>
          <w:rFonts w:ascii="Bookman Old Style" w:hAnsi="Bookman Old Style"/>
          <w:b/>
          <w:bCs/>
          <w:sz w:val="24"/>
        </w:rPr>
        <w:t xml:space="preserve">  </w:t>
      </w:r>
      <w:r w:rsidR="001256BF">
        <w:rPr>
          <w:rFonts w:ascii="Bookman Old Style" w:hAnsi="Bookman Old Style"/>
          <w:sz w:val="24"/>
        </w:rPr>
        <w:t xml:space="preserve">Powód  Marek B.  na skutek pobicia go przez </w:t>
      </w:r>
      <w:r w:rsidR="00BF43AA">
        <w:rPr>
          <w:rFonts w:ascii="Bookman Old Style" w:hAnsi="Bookman Old Style"/>
          <w:sz w:val="24"/>
        </w:rPr>
        <w:t>po</w:t>
      </w:r>
      <w:r w:rsidR="001256BF">
        <w:rPr>
          <w:rFonts w:ascii="Bookman Old Style" w:hAnsi="Bookman Old Style"/>
          <w:sz w:val="24"/>
        </w:rPr>
        <w:t>licję rozpędzającą manifestację w dniu 20.10.</w:t>
      </w:r>
      <w:r w:rsidR="000B5303">
        <w:rPr>
          <w:rFonts w:ascii="Bookman Old Style" w:hAnsi="Bookman Old Style"/>
          <w:sz w:val="24"/>
        </w:rPr>
        <w:t>200</w:t>
      </w:r>
      <w:r w:rsidR="001256BF">
        <w:rPr>
          <w:rFonts w:ascii="Bookman Old Style" w:hAnsi="Bookman Old Style"/>
          <w:sz w:val="24"/>
        </w:rPr>
        <w:t xml:space="preserve">1r doznał urazu oka, na skutek czego słabiej </w:t>
      </w:r>
      <w:r w:rsidR="001256BF">
        <w:rPr>
          <w:rFonts w:ascii="Bookman Old Style" w:hAnsi="Bookman Old Style"/>
          <w:sz w:val="24"/>
        </w:rPr>
        <w:lastRenderedPageBreak/>
        <w:t>widział. Wyrokiem z dnia 24.03.</w:t>
      </w:r>
      <w:r w:rsidR="000B5303">
        <w:rPr>
          <w:rFonts w:ascii="Bookman Old Style" w:hAnsi="Bookman Old Style"/>
          <w:sz w:val="24"/>
        </w:rPr>
        <w:t>200</w:t>
      </w:r>
      <w:r w:rsidR="001256BF">
        <w:rPr>
          <w:rFonts w:ascii="Bookman Old Style" w:hAnsi="Bookman Old Style"/>
          <w:sz w:val="24"/>
        </w:rPr>
        <w:t>4r. Sąd Rejonowy w T. zasądził  od Skarbu Państwa –Komendy Wojewódzkiej w T. odszkodowanie. Od</w:t>
      </w:r>
      <w:r w:rsidR="000B5303">
        <w:rPr>
          <w:rFonts w:ascii="Bookman Old Style" w:hAnsi="Bookman Old Style"/>
          <w:sz w:val="24"/>
        </w:rPr>
        <w:t xml:space="preserve"> 2010</w:t>
      </w:r>
      <w:r w:rsidR="001256BF">
        <w:rPr>
          <w:rFonts w:ascii="Bookman Old Style" w:hAnsi="Bookman Old Style"/>
          <w:sz w:val="24"/>
        </w:rPr>
        <w:t xml:space="preserve"> do </w:t>
      </w:r>
      <w:r w:rsidR="000B5303">
        <w:rPr>
          <w:rFonts w:ascii="Bookman Old Style" w:hAnsi="Bookman Old Style"/>
          <w:sz w:val="24"/>
        </w:rPr>
        <w:t>201</w:t>
      </w:r>
      <w:r w:rsidR="001256BF">
        <w:rPr>
          <w:rFonts w:ascii="Bookman Old Style" w:hAnsi="Bookman Old Style"/>
          <w:sz w:val="24"/>
        </w:rPr>
        <w:t xml:space="preserve">3r. powód pracował w kopalni węgla, skąd został zwolniony w grudniu </w:t>
      </w:r>
      <w:r w:rsidR="000B5303">
        <w:rPr>
          <w:rFonts w:ascii="Bookman Old Style" w:hAnsi="Bookman Old Style"/>
          <w:sz w:val="24"/>
        </w:rPr>
        <w:t>201</w:t>
      </w:r>
      <w:r w:rsidR="001256BF">
        <w:rPr>
          <w:rFonts w:ascii="Bookman Old Style" w:hAnsi="Bookman Old Style"/>
          <w:sz w:val="24"/>
        </w:rPr>
        <w:t>3r. z powodu ślepoty oka prawego, która wówczas wystąpiła i pozostawał  na utrzymaniu rodziny. W dniu 14.03.</w:t>
      </w:r>
      <w:r w:rsidR="000B5303">
        <w:rPr>
          <w:rFonts w:ascii="Bookman Old Style" w:hAnsi="Bookman Old Style"/>
          <w:sz w:val="24"/>
        </w:rPr>
        <w:t>201</w:t>
      </w:r>
      <w:r w:rsidR="001256BF">
        <w:rPr>
          <w:rFonts w:ascii="Bookman Old Style" w:hAnsi="Bookman Old Style"/>
          <w:sz w:val="24"/>
        </w:rPr>
        <w:t>4r. powód wniósł przeciwko stronie pozwanej pozew o rentę w związku z nową szkodą, wobec faktu, iż w poprzednim wyroku ustalono odpowiedzialność strony pozwanej za skutki mogące powstać w przyszłości. Strona pozwana podniosła zarzut przedawnienia. Czy zarzut jest skuteczny? Od kiedy liczymy przedawnienie czynu niedozwolonego i jakie znaczenie ma w tym kontekście ustalenie w wyroku odpowiedzialności na przyszłość?</w:t>
      </w:r>
    </w:p>
    <w:p w14:paraId="5E99CFEE" w14:textId="77777777" w:rsidR="001256BF" w:rsidRDefault="001256BF" w:rsidP="001256BF">
      <w:pPr>
        <w:pStyle w:val="Tekstprzypisukocowego"/>
        <w:tabs>
          <w:tab w:val="left" w:pos="2500"/>
          <w:tab w:val="left" w:pos="4000"/>
          <w:tab w:val="left" w:pos="6400"/>
          <w:tab w:val="left" w:pos="10500"/>
        </w:tabs>
        <w:rPr>
          <w:rFonts w:ascii="Bookman Old Style" w:hAnsi="Bookman Old Style"/>
          <w:sz w:val="18"/>
          <w:szCs w:val="18"/>
        </w:rPr>
      </w:pPr>
    </w:p>
    <w:p w14:paraId="4DCAD5DF" w14:textId="329CE489" w:rsidR="001256BF" w:rsidRDefault="00CB0AA3" w:rsidP="001256BF">
      <w:pPr>
        <w:pStyle w:val="Tekstprzypisukocowego"/>
        <w:tabs>
          <w:tab w:val="left" w:pos="2500"/>
          <w:tab w:val="left" w:pos="4000"/>
          <w:tab w:val="left" w:pos="6400"/>
          <w:tab w:val="left" w:pos="10500"/>
        </w:tabs>
        <w:rPr>
          <w:rFonts w:ascii="Bookman Old Style" w:hAnsi="Bookman Old Style"/>
          <w:sz w:val="24"/>
          <w:szCs w:val="24"/>
        </w:rPr>
      </w:pPr>
      <w:r>
        <w:rPr>
          <w:rFonts w:ascii="Bookman Old Style" w:hAnsi="Bookman Old Style"/>
          <w:sz w:val="24"/>
          <w:szCs w:val="24"/>
        </w:rPr>
        <w:t>56</w:t>
      </w:r>
      <w:r w:rsidR="001256BF">
        <w:rPr>
          <w:rFonts w:ascii="Bookman Old Style" w:hAnsi="Bookman Old Style"/>
          <w:sz w:val="24"/>
          <w:szCs w:val="24"/>
        </w:rPr>
        <w:t>. Joanna C. domagała się w pozwie z dnia 23.01.20</w:t>
      </w:r>
      <w:r w:rsidR="00603DAF">
        <w:rPr>
          <w:rFonts w:ascii="Bookman Old Style" w:hAnsi="Bookman Old Style"/>
          <w:sz w:val="24"/>
          <w:szCs w:val="24"/>
        </w:rPr>
        <w:t>1</w:t>
      </w:r>
      <w:r w:rsidR="001256BF">
        <w:rPr>
          <w:rFonts w:ascii="Bookman Old Style" w:hAnsi="Bookman Old Style"/>
          <w:sz w:val="24"/>
          <w:szCs w:val="24"/>
        </w:rPr>
        <w:t>1r.od Jarosława N. kwoty 2000 zł tytułem odszkodowania oraz 4000 zł jako zadośćuczynienie, z odsetkami ustawowymi od dnia wniesienia pozwu, z powodu skutków zdrowotnych potrącenia jej przez pozwanego jadącego samochodem, na przejściu dla pieszych. Pozew został doręczony w dniu 4.03.20</w:t>
      </w:r>
      <w:r w:rsidR="00603DAF">
        <w:rPr>
          <w:rFonts w:ascii="Bookman Old Style" w:hAnsi="Bookman Old Style"/>
          <w:sz w:val="24"/>
          <w:szCs w:val="24"/>
        </w:rPr>
        <w:t>1</w:t>
      </w:r>
      <w:r w:rsidR="001256BF">
        <w:rPr>
          <w:rFonts w:ascii="Bookman Old Style" w:hAnsi="Bookman Old Style"/>
          <w:sz w:val="24"/>
          <w:szCs w:val="24"/>
        </w:rPr>
        <w:t>1r. W dniu 31.07.20</w:t>
      </w:r>
      <w:r w:rsidR="00603DAF">
        <w:rPr>
          <w:rFonts w:ascii="Bookman Old Style" w:hAnsi="Bookman Old Style"/>
          <w:sz w:val="24"/>
          <w:szCs w:val="24"/>
        </w:rPr>
        <w:t>1</w:t>
      </w:r>
      <w:r w:rsidR="001256BF">
        <w:rPr>
          <w:rFonts w:ascii="Bookman Old Style" w:hAnsi="Bookman Old Style"/>
          <w:sz w:val="24"/>
          <w:szCs w:val="24"/>
        </w:rPr>
        <w:t>2 sąd wydał wyrok, uwzględniający żądanie, z wyjątkiem odsetek, które ustalił od dnia 31.07.20</w:t>
      </w:r>
      <w:r w:rsidR="00603DAF">
        <w:rPr>
          <w:rFonts w:ascii="Bookman Old Style" w:hAnsi="Bookman Old Style"/>
          <w:sz w:val="24"/>
          <w:szCs w:val="24"/>
        </w:rPr>
        <w:t>1</w:t>
      </w:r>
      <w:r w:rsidR="001256BF">
        <w:rPr>
          <w:rFonts w:ascii="Bookman Old Style" w:hAnsi="Bookman Old Style"/>
          <w:sz w:val="24"/>
          <w:szCs w:val="24"/>
        </w:rPr>
        <w:t>2r. Wyrok ten zaskarżyła apelacją powódka, wskazując na błędne określenie daty odsetek. Czy ma rację?</w:t>
      </w:r>
    </w:p>
    <w:p w14:paraId="797BA1E0" w14:textId="77777777" w:rsidR="001256BF" w:rsidRDefault="001256BF" w:rsidP="001256BF">
      <w:pPr>
        <w:tabs>
          <w:tab w:val="left" w:pos="2500"/>
          <w:tab w:val="left" w:pos="4000"/>
          <w:tab w:val="left" w:pos="6400"/>
          <w:tab w:val="left" w:pos="10500"/>
        </w:tabs>
        <w:rPr>
          <w:rFonts w:ascii="Bookman Old Style" w:hAnsi="Bookman Old Style"/>
          <w:sz w:val="18"/>
          <w:szCs w:val="18"/>
        </w:rPr>
      </w:pPr>
    </w:p>
    <w:p w14:paraId="16FE14B9" w14:textId="3262654C" w:rsidR="001256BF" w:rsidRPr="00180BC1" w:rsidRDefault="00CB0AA3" w:rsidP="001256BF">
      <w:pPr>
        <w:tabs>
          <w:tab w:val="left" w:pos="2500"/>
          <w:tab w:val="left" w:pos="4000"/>
          <w:tab w:val="left" w:pos="6400"/>
          <w:tab w:val="left" w:pos="10500"/>
        </w:tabs>
        <w:rPr>
          <w:rFonts w:ascii="Bookman Old Style" w:hAnsi="Bookman Old Style"/>
        </w:rPr>
      </w:pPr>
      <w:r>
        <w:rPr>
          <w:rFonts w:ascii="Bookman Old Style" w:hAnsi="Bookman Old Style"/>
        </w:rPr>
        <w:t>57</w:t>
      </w:r>
      <w:r w:rsidR="001256BF" w:rsidRPr="00180BC1">
        <w:rPr>
          <w:rFonts w:ascii="Bookman Old Style" w:hAnsi="Bookman Old Style"/>
        </w:rPr>
        <w:t xml:space="preserve">. W 1993r. Joanna S. na skutek wypadku komunikacyjnego doznała poważnego złamania ręki z przemieszczeniem, co wymagało 2 operacji. Pod koniec rocznego okresu leczenia wystąpiła z powództwem przeciwko sprawcy i uzyskała odszkodowanie 20 000 zł oraz zadośćuczynienie w kwocie 30 000 zł. Wiadomym było, że konieczna będzie  za pół roku operacja polegała na powtórnym złamaniu i złożeniu kości za pomocą śrub. Przeprowadzono ją w 1995r. Powódka wystąpiła przeciwko sprawcy o zadośćuczynienie 10 000 zł za krzywdę polegającą na  nowych cierpieniach po operacji. Pozwany podniósł zarzut </w:t>
      </w:r>
      <w:r w:rsidR="001256BF" w:rsidRPr="00180BC1">
        <w:rPr>
          <w:rFonts w:ascii="Bookman Old Style" w:hAnsi="Bookman Old Style"/>
          <w:i/>
        </w:rPr>
        <w:t>res iudicata</w:t>
      </w:r>
      <w:r w:rsidR="001256BF" w:rsidRPr="00180BC1">
        <w:rPr>
          <w:rFonts w:ascii="Bookman Old Style" w:hAnsi="Bookman Old Style"/>
        </w:rPr>
        <w:t xml:space="preserve">. Co winien zrobić sąd? </w:t>
      </w:r>
    </w:p>
    <w:p w14:paraId="2C6DCAE9" w14:textId="77777777" w:rsidR="001256BF" w:rsidRPr="00180BC1" w:rsidRDefault="001256BF" w:rsidP="001256BF">
      <w:pPr>
        <w:tabs>
          <w:tab w:val="left" w:pos="2500"/>
          <w:tab w:val="left" w:pos="4000"/>
          <w:tab w:val="left" w:pos="6400"/>
          <w:tab w:val="left" w:pos="10500"/>
        </w:tabs>
        <w:rPr>
          <w:rFonts w:ascii="Bookman Old Style" w:hAnsi="Bookman Old Style"/>
          <w:sz w:val="18"/>
          <w:szCs w:val="18"/>
        </w:rPr>
      </w:pPr>
    </w:p>
    <w:p w14:paraId="0B0E0DFC" w14:textId="3CBB77CF" w:rsidR="001256BF" w:rsidRPr="00180BC1" w:rsidRDefault="00CB0AA3" w:rsidP="001256BF">
      <w:pPr>
        <w:tabs>
          <w:tab w:val="left" w:pos="2500"/>
          <w:tab w:val="left" w:pos="4000"/>
          <w:tab w:val="left" w:pos="6400"/>
          <w:tab w:val="left" w:pos="10500"/>
        </w:tabs>
        <w:rPr>
          <w:rFonts w:ascii="Bookman Old Style" w:hAnsi="Bookman Old Style"/>
        </w:rPr>
      </w:pPr>
      <w:r>
        <w:rPr>
          <w:rFonts w:ascii="Bookman Old Style" w:hAnsi="Bookman Old Style"/>
        </w:rPr>
        <w:t>58</w:t>
      </w:r>
      <w:r w:rsidR="001256BF" w:rsidRPr="00180BC1">
        <w:rPr>
          <w:rFonts w:ascii="Bookman Old Style" w:hAnsi="Bookman Old Style"/>
        </w:rPr>
        <w:t xml:space="preserve">. Robert P. został skazany prawomocnym wyrokiem  za  spowodowanie (rękami i grabiami) u swojej siostry Jolanty Z. w dniu 5.05.2001r. skutków takich  jak: obrażenia głowy zewnętrzne i wewnętrzne, stłuczenie ręki prawej oraz stłuczenie podudzia lewego i ranę cięto – szarpaną nogi, tj. obrażeń na czas powyżej 7 dni ( art. 157 par 1 </w:t>
      </w:r>
      <w:smartTag w:uri="lexAThandschemas/lexAThand" w:element="lexATakty">
        <w:smartTagPr>
          <w:attr w:name="ProductID" w:val="kk"/>
        </w:smartTagPr>
        <w:r w:rsidR="001256BF" w:rsidRPr="00180BC1">
          <w:rPr>
            <w:rFonts w:ascii="Bookman Old Style" w:hAnsi="Bookman Old Style"/>
          </w:rPr>
          <w:t>kk</w:t>
        </w:r>
      </w:smartTag>
      <w:r w:rsidR="001256BF" w:rsidRPr="00180BC1">
        <w:rPr>
          <w:rFonts w:ascii="Bookman Old Style" w:hAnsi="Bookman Old Style"/>
        </w:rPr>
        <w:t>). Powódka leczyła się przez ½ roku, 2 miesiące była niezdolna do pracy;  trwale straciła słuch w 20 %. W procesie o odszkodowanie i zadośćuczynienie  pozwany podniósł, że: 1/ skutki  nie mogły być tak ciężkie, skoro na trzeci dzień powódka zbierała buraki w polu, 2/ że on tylko raz uderzył powódkę, a obrażeni</w:t>
      </w:r>
      <w:r w:rsidR="001256BF">
        <w:rPr>
          <w:rFonts w:ascii="Bookman Old Style" w:hAnsi="Bookman Old Style"/>
        </w:rPr>
        <w:t>a spowodował jej mąż-alkoholik 4</w:t>
      </w:r>
      <w:r w:rsidR="001256BF" w:rsidRPr="00180BC1">
        <w:rPr>
          <w:rFonts w:ascii="Bookman Old Style" w:hAnsi="Bookman Old Style"/>
        </w:rPr>
        <w:t xml:space="preserve"> dni później, 3/ że powódka przyczyniła się do zdarzenia, albowiem sprowokowała pozwanego wywołując awanturę – i zgłosił wnioski dowodowe z zeznań świadków. Oceń możliwą skuteczność zarzutów pozwanego.</w:t>
      </w:r>
    </w:p>
    <w:p w14:paraId="353B3F02" w14:textId="4FC53DDF" w:rsidR="001256BF" w:rsidRPr="00180BC1" w:rsidRDefault="00CB0AA3" w:rsidP="001256BF">
      <w:pPr>
        <w:tabs>
          <w:tab w:val="left" w:pos="2500"/>
          <w:tab w:val="left" w:pos="4000"/>
          <w:tab w:val="left" w:pos="6400"/>
          <w:tab w:val="left" w:pos="10500"/>
        </w:tabs>
        <w:rPr>
          <w:rFonts w:ascii="Bookman Old Style" w:hAnsi="Bookman Old Style"/>
        </w:rPr>
      </w:pPr>
      <w:r>
        <w:rPr>
          <w:rFonts w:ascii="Bookman Old Style" w:hAnsi="Bookman Old Style"/>
        </w:rPr>
        <w:t>59</w:t>
      </w:r>
      <w:r w:rsidR="001256BF" w:rsidRPr="00180BC1">
        <w:rPr>
          <w:rFonts w:ascii="Bookman Old Style" w:hAnsi="Bookman Old Style"/>
        </w:rPr>
        <w:t xml:space="preserve">. W dniu 2.06.2002r. zapadł wyrok Sądu Rejonowego w K. z powództwa Gminy w K. przeciwko Jerzemu S. rozwiązujący umowę użytkowania wieczystego, a sąd II instancji oddalił apelację.  W dniu  14.06.2003r. Jerzy S. wniósł pozew p-ko Skarbowi Państwa – Sądowi  Rejonowemu w K. o zapłatę 90 000 zł odszkodowania za szkodę wyrządzoną przez wydanie w/w wyroku z rażącym naruszeniem prawa materialnego, gdyż sądy źle </w:t>
      </w:r>
      <w:r w:rsidR="001256BF" w:rsidRPr="00180BC1">
        <w:rPr>
          <w:rFonts w:ascii="Bookman Old Style" w:hAnsi="Bookman Old Style"/>
        </w:rPr>
        <w:lastRenderedPageBreak/>
        <w:t>zinterpretowały przepisy, na skutek czego utracił dochód z nieruchomości w powyższej kwocie. Wskaż, w oparciu o jakie przepisy sąd może orzekać i  jakie są przesłanki odpowiedzialności  podlegające badaniu.</w:t>
      </w:r>
    </w:p>
    <w:p w14:paraId="3CED0DFD" w14:textId="77777777" w:rsidR="001256BF" w:rsidRPr="00180BC1" w:rsidRDefault="001256BF" w:rsidP="001256BF">
      <w:pPr>
        <w:tabs>
          <w:tab w:val="left" w:pos="2500"/>
          <w:tab w:val="left" w:pos="4000"/>
          <w:tab w:val="left" w:pos="6400"/>
          <w:tab w:val="left" w:pos="10500"/>
        </w:tabs>
        <w:rPr>
          <w:rFonts w:ascii="Bookman Old Style" w:hAnsi="Bookman Old Style"/>
          <w:sz w:val="18"/>
          <w:szCs w:val="18"/>
        </w:rPr>
      </w:pPr>
    </w:p>
    <w:p w14:paraId="6D3E69B7" w14:textId="5CE37F28" w:rsidR="001256BF" w:rsidRPr="00180BC1" w:rsidRDefault="001256BF" w:rsidP="001256BF">
      <w:pPr>
        <w:tabs>
          <w:tab w:val="left" w:pos="2500"/>
          <w:tab w:val="left" w:pos="4000"/>
          <w:tab w:val="left" w:pos="6400"/>
          <w:tab w:val="left" w:pos="10500"/>
        </w:tabs>
        <w:rPr>
          <w:rFonts w:ascii="Bookman Old Style" w:hAnsi="Bookman Old Style"/>
        </w:rPr>
      </w:pPr>
      <w:r w:rsidRPr="00180BC1">
        <w:rPr>
          <w:rFonts w:ascii="Bookman Old Style" w:hAnsi="Bookman Old Style"/>
        </w:rPr>
        <w:t>6</w:t>
      </w:r>
      <w:r w:rsidR="00CB0AA3">
        <w:rPr>
          <w:rFonts w:ascii="Bookman Old Style" w:hAnsi="Bookman Old Style"/>
        </w:rPr>
        <w:t>0</w:t>
      </w:r>
      <w:r w:rsidRPr="00180BC1">
        <w:rPr>
          <w:rFonts w:ascii="Bookman Old Style" w:hAnsi="Bookman Old Style"/>
        </w:rPr>
        <w:t>. W dniu 7.11.20</w:t>
      </w:r>
      <w:r w:rsidR="007F10E5">
        <w:rPr>
          <w:rFonts w:ascii="Bookman Old Style" w:hAnsi="Bookman Old Style"/>
        </w:rPr>
        <w:t>10</w:t>
      </w:r>
      <w:r w:rsidRPr="00180BC1">
        <w:rPr>
          <w:rFonts w:ascii="Bookman Old Style" w:hAnsi="Bookman Old Style"/>
        </w:rPr>
        <w:t>r. samochód osobowy marki „Mercedes”, należący do powoda, w dobrym stanie technicznym, został zabezpieczony przez policję, uznany za dowód rzeczowy i oddany pod dozór i na przechowanie na parking strzeżony, wobec umowy, jaką właściciel parkingu ( spółka zajmująca się parkingami) zawarł z wojewodą, zobowiązując się do transportu oraz przechowania pojazdów usuniętych przez policję.  W dniu 28.02.20</w:t>
      </w:r>
      <w:r w:rsidR="007F10E5">
        <w:rPr>
          <w:rFonts w:ascii="Bookman Old Style" w:hAnsi="Bookman Old Style"/>
        </w:rPr>
        <w:t>1</w:t>
      </w:r>
      <w:r w:rsidRPr="00180BC1">
        <w:rPr>
          <w:rFonts w:ascii="Bookman Old Style" w:hAnsi="Bookman Old Style"/>
        </w:rPr>
        <w:t xml:space="preserve">1r. uznając, że pojazd stał się zbędny dla postępowania – zwrócono go powodowi, lecz z licznymi uszkodzeniami. Powód pozwał Skarb Państwa – Komendę Wojewódzką Policji w G. o zwrot kosztów naprawy 8000 zł. Strona pozwana twierdziła, że wykonanie czynności przechowania powierzyła profesjonaliście, wobec tego jest zwolniona z odpowiedzialności </w:t>
      </w:r>
    </w:p>
    <w:p w14:paraId="0E6A8446" w14:textId="77777777" w:rsidR="001256BF" w:rsidRPr="00180BC1" w:rsidRDefault="001256BF" w:rsidP="001256BF">
      <w:pPr>
        <w:tabs>
          <w:tab w:val="left" w:pos="2500"/>
          <w:tab w:val="left" w:pos="4000"/>
          <w:tab w:val="left" w:pos="6400"/>
          <w:tab w:val="left" w:pos="10500"/>
        </w:tabs>
        <w:rPr>
          <w:rFonts w:ascii="Bookman Old Style" w:hAnsi="Bookman Old Style"/>
        </w:rPr>
      </w:pPr>
      <w:r w:rsidRPr="00180BC1">
        <w:rPr>
          <w:rFonts w:ascii="Bookman Old Style" w:hAnsi="Bookman Old Style"/>
        </w:rPr>
        <w:t xml:space="preserve">( </w:t>
      </w:r>
      <w:smartTag w:uri="lexAThandschemas/lexAThand" w:element="lexATelementyStruktury">
        <w:smartTagPr>
          <w:attr w:name="ProductID3" w:val="art. 429 kc"/>
        </w:smartTagPr>
        <w:r w:rsidRPr="00180BC1">
          <w:rPr>
            <w:rFonts w:ascii="Bookman Old Style" w:hAnsi="Bookman Old Style"/>
          </w:rPr>
          <w:t>art. 429 kc</w:t>
        </w:r>
      </w:smartTag>
      <w:r w:rsidRPr="00180BC1">
        <w:rPr>
          <w:rFonts w:ascii="Bookman Old Style" w:hAnsi="Bookman Old Style"/>
        </w:rPr>
        <w:t>). Proszę rozstrzygnąć sprawę.</w:t>
      </w:r>
    </w:p>
    <w:p w14:paraId="27612F66" w14:textId="77777777" w:rsidR="001256BF" w:rsidRPr="00180BC1" w:rsidRDefault="001256BF" w:rsidP="001256BF">
      <w:pPr>
        <w:tabs>
          <w:tab w:val="left" w:pos="2500"/>
          <w:tab w:val="left" w:pos="4000"/>
          <w:tab w:val="left" w:pos="6400"/>
          <w:tab w:val="left" w:pos="10500"/>
        </w:tabs>
        <w:rPr>
          <w:rFonts w:ascii="Bookman Old Style" w:hAnsi="Bookman Old Style"/>
          <w:sz w:val="18"/>
          <w:szCs w:val="18"/>
        </w:rPr>
      </w:pPr>
    </w:p>
    <w:p w14:paraId="566417D9" w14:textId="10FB0FB3" w:rsidR="001256BF" w:rsidRPr="00180BC1" w:rsidRDefault="00CB0AA3" w:rsidP="001256BF">
      <w:pPr>
        <w:tabs>
          <w:tab w:val="left" w:pos="2500"/>
          <w:tab w:val="left" w:pos="4000"/>
          <w:tab w:val="left" w:pos="6400"/>
          <w:tab w:val="left" w:pos="10500"/>
        </w:tabs>
        <w:rPr>
          <w:rFonts w:ascii="Bookman Old Style" w:hAnsi="Bookman Old Style"/>
        </w:rPr>
      </w:pPr>
      <w:r>
        <w:rPr>
          <w:rFonts w:ascii="Bookman Old Style" w:hAnsi="Bookman Old Style"/>
        </w:rPr>
        <w:t>61</w:t>
      </w:r>
      <w:r w:rsidR="001256BF" w:rsidRPr="00180BC1">
        <w:rPr>
          <w:rFonts w:ascii="Bookman Old Style" w:hAnsi="Bookman Old Style"/>
        </w:rPr>
        <w:t>. Jan W. żądał od Stefana O. i Witolda H. solidarnie kwoty  10 000 zł jako zwrot wartości skradzionych  mu znaczków ze znanej kolekcji. Sprawcy włamania nie ujęto; Stefan O. został skazany prawomocnie za pomocnictwo w kradzieży z włamaniem, tj. dostarczenie schematu systemu alarmowego, zaś Witold H. skazany  za paserstwo co do znaczków. Pozwany Stefan O. bronił się zarzutem, że nie brał udziału we włamaniu, a nadto obaj z Witoldem H. twierdzili, że nie uzyskali żadnej korzyści z przestępstwa, gdyż  Witold H. nabył znaczki za 3000 zł , ale od sprawcy, który uciekł, nic nie zostawiwszy Stefanowi O. zaś Witold H. odsprzedał je na bazarze bez zysku. Wskaż, czy zarzuty pozwanych są zasadne i jaka jest podstawa ich odpowiedzialności.</w:t>
      </w:r>
    </w:p>
    <w:p w14:paraId="58F3B7B9" w14:textId="77777777" w:rsidR="001256BF" w:rsidRPr="00337227" w:rsidRDefault="001256BF" w:rsidP="001256BF">
      <w:pPr>
        <w:tabs>
          <w:tab w:val="left" w:pos="2500"/>
          <w:tab w:val="left" w:pos="4000"/>
          <w:tab w:val="left" w:pos="6400"/>
          <w:tab w:val="left" w:pos="10500"/>
        </w:tabs>
        <w:rPr>
          <w:rFonts w:ascii="Bookman Old Style" w:hAnsi="Bookman Old Style"/>
          <w:sz w:val="18"/>
          <w:szCs w:val="18"/>
        </w:rPr>
      </w:pPr>
    </w:p>
    <w:p w14:paraId="18DC1085" w14:textId="61454636" w:rsidR="001256BF" w:rsidRDefault="00CB0AA3" w:rsidP="001256BF">
      <w:pPr>
        <w:tabs>
          <w:tab w:val="left" w:pos="2500"/>
          <w:tab w:val="left" w:pos="4000"/>
          <w:tab w:val="left" w:pos="6400"/>
          <w:tab w:val="left" w:pos="10500"/>
        </w:tabs>
        <w:rPr>
          <w:rFonts w:ascii="Bookman Old Style" w:hAnsi="Bookman Old Style"/>
        </w:rPr>
      </w:pPr>
      <w:r>
        <w:rPr>
          <w:rFonts w:ascii="Bookman Old Style" w:hAnsi="Bookman Old Style"/>
        </w:rPr>
        <w:t>62</w:t>
      </w:r>
      <w:r w:rsidR="001256BF">
        <w:rPr>
          <w:rFonts w:ascii="Bookman Old Style" w:hAnsi="Bookman Old Style"/>
        </w:rPr>
        <w:t>. Małżonkowie Zbigniew i Elwira D. domagają się od PZU-S.A. kwoty 100 000 zł tytułem odszkodowania w związku z wypadkiem, który spowodował sprawca ubezpieczony w PZU. Wyjechał on z dużą prędkością na czerwonym świetle, powodując zderzenie z jadącym prawidłowo Fiatem Punto, który następnie uderzył w drzewo. Na miejscu śmierć poniósł kierowca- syn powodów, jego żona oraz dwoje dzieci ( wnuków powodów) w wieku 3 i 8 lat. Powodowie wskazują, że od chwili wypadku cierpią z powodu zaburzeń psychicznych i głębokiej depresji, która uniemożliwia im funkcjonowanie i wykonywanie najprostszych czynności życiowych i z tego powodu wnoszą o zasądzenie kwoty j.w. Rozważ zasadność powództwa i wskaż, czy i jakie roszczenia służą powodom.</w:t>
      </w:r>
    </w:p>
    <w:p w14:paraId="4D728FC3" w14:textId="77777777" w:rsidR="001256BF" w:rsidRDefault="001256BF" w:rsidP="001256BF">
      <w:pPr>
        <w:tabs>
          <w:tab w:val="left" w:pos="2500"/>
          <w:tab w:val="left" w:pos="4000"/>
          <w:tab w:val="left" w:pos="6400"/>
          <w:tab w:val="left" w:pos="10500"/>
        </w:tabs>
        <w:rPr>
          <w:rFonts w:ascii="Bookman Old Style" w:hAnsi="Bookman Old Style"/>
          <w:sz w:val="18"/>
          <w:szCs w:val="18"/>
        </w:rPr>
      </w:pPr>
    </w:p>
    <w:p w14:paraId="3F0216B0" w14:textId="1397E9F2" w:rsidR="001256BF" w:rsidRDefault="00CB0AA3" w:rsidP="001256BF">
      <w:pPr>
        <w:tabs>
          <w:tab w:val="left" w:pos="2500"/>
          <w:tab w:val="left" w:pos="4000"/>
          <w:tab w:val="left" w:pos="6400"/>
          <w:tab w:val="left" w:pos="10500"/>
        </w:tabs>
        <w:rPr>
          <w:rFonts w:ascii="Bookman Old Style" w:hAnsi="Bookman Old Style"/>
        </w:rPr>
      </w:pPr>
      <w:r>
        <w:rPr>
          <w:rFonts w:ascii="Bookman Old Style" w:hAnsi="Bookman Old Style"/>
        </w:rPr>
        <w:t>63</w:t>
      </w:r>
      <w:r w:rsidR="001256BF">
        <w:rPr>
          <w:rFonts w:ascii="Bookman Old Style" w:hAnsi="Bookman Old Style"/>
        </w:rPr>
        <w:t xml:space="preserve">. Powód Bogdan B. przebywał 1 tydzień w szpitalu powiatowym w K. z powodu operacji wyrostka robaczkowego. 2 tygodnie po powrocie do domu miał gorączkę, wymioty i ostatecznie żółtaczkę, spowodowaną wirusowym zapaleniem wątroby typu B. Powód pozwał szpital powiatowy o odszkodowanie poprzez zwrot kosztów leczenia, utraconych  zarobków i specjalnej diety, twierdząc, że tam go zarażono. Pozwany szpital wnosił o oddalenie powództwa, wskazując na  fakt wielości możliwych źródeł zakażenia, jak choćby przy badaniach w ośrodku zdrowia. Podniesiono także, że do zabiegu używa się sprzętu wysterylizowanego, a do iniekcji sprzętu </w:t>
      </w:r>
      <w:r w:rsidR="001256BF">
        <w:rPr>
          <w:rFonts w:ascii="Bookman Old Style" w:hAnsi="Bookman Old Style"/>
        </w:rPr>
        <w:lastRenderedPageBreak/>
        <w:t>jednorazowego, co potwierdzili biegli. Z uwagi na okres wylęgania choroby biegli wskazali na wysokie prawdopodobieństwo zakażenia powoda w szpitalu, choć nie sposób tego jednoznacznie stwierdzić. Podali też, że reżim sanitarny na  bloku operacyjnym był zachowany, ale nie na salach ogólnych, jak chodzi o stan sanitariatów i łazienek, odbiegający od regulaminowego. Rozważ zasadność powództwa i obrony.</w:t>
      </w:r>
    </w:p>
    <w:p w14:paraId="4E2D3886" w14:textId="77777777" w:rsidR="001256BF" w:rsidRPr="00E0212D" w:rsidRDefault="001256BF" w:rsidP="001256BF">
      <w:pPr>
        <w:pStyle w:val="Tekstprzypisukocowego"/>
        <w:tabs>
          <w:tab w:val="left" w:pos="2500"/>
          <w:tab w:val="left" w:pos="4000"/>
          <w:tab w:val="left" w:pos="6400"/>
          <w:tab w:val="left" w:pos="10500"/>
        </w:tabs>
        <w:rPr>
          <w:rFonts w:ascii="Bookman Old Style" w:hAnsi="Bookman Old Style"/>
          <w:b/>
          <w:bCs/>
          <w:sz w:val="18"/>
          <w:szCs w:val="18"/>
        </w:rPr>
      </w:pPr>
    </w:p>
    <w:p w14:paraId="37DE5DAC" w14:textId="77777777" w:rsidR="001256BF" w:rsidRPr="00180BC1" w:rsidRDefault="001256BF" w:rsidP="001256BF">
      <w:pPr>
        <w:pStyle w:val="Tekstprzypisukocowego"/>
        <w:tabs>
          <w:tab w:val="left" w:pos="2500"/>
          <w:tab w:val="left" w:pos="4000"/>
          <w:tab w:val="left" w:pos="6400"/>
          <w:tab w:val="left" w:pos="10500"/>
        </w:tabs>
        <w:rPr>
          <w:rFonts w:ascii="Bookman Old Style" w:hAnsi="Bookman Old Style"/>
          <w:b/>
          <w:bCs/>
          <w:sz w:val="24"/>
        </w:rPr>
      </w:pPr>
    </w:p>
    <w:p w14:paraId="68BC6606" w14:textId="77777777" w:rsidR="001256BF" w:rsidRDefault="001256BF" w:rsidP="001256BF">
      <w:pPr>
        <w:pStyle w:val="Tekstprzypisukocowego"/>
        <w:tabs>
          <w:tab w:val="left" w:pos="2500"/>
          <w:tab w:val="left" w:pos="4000"/>
          <w:tab w:val="left" w:pos="6400"/>
          <w:tab w:val="left" w:pos="10500"/>
        </w:tabs>
        <w:rPr>
          <w:rFonts w:ascii="Bookman Old Style" w:hAnsi="Bookman Old Style"/>
          <w:b/>
          <w:bCs/>
          <w:sz w:val="24"/>
        </w:rPr>
      </w:pPr>
      <w:r w:rsidRPr="00180BC1">
        <w:rPr>
          <w:rFonts w:ascii="Bookman Old Style" w:hAnsi="Bookman Old Style"/>
          <w:b/>
          <w:bCs/>
          <w:sz w:val="24"/>
        </w:rPr>
        <w:t xml:space="preserve">Odpowiedzialność za szkody wyrządzone ruchem przedsiębiorstwa i ruchem mechanicznego środka komunikacji ( 435, 436 </w:t>
      </w:r>
      <w:smartTag w:uri="lexAThandschemas/lexAThand" w:element="lexATakty">
        <w:smartTagPr>
          <w:attr w:name="ProductID" w:val="kc"/>
        </w:smartTagPr>
        <w:r w:rsidRPr="00180BC1">
          <w:rPr>
            <w:rFonts w:ascii="Bookman Old Style" w:hAnsi="Bookman Old Style"/>
            <w:b/>
            <w:bCs/>
            <w:sz w:val="24"/>
          </w:rPr>
          <w:t>kc</w:t>
        </w:r>
      </w:smartTag>
      <w:r w:rsidRPr="00180BC1">
        <w:rPr>
          <w:rFonts w:ascii="Bookman Old Style" w:hAnsi="Bookman Old Style"/>
          <w:b/>
          <w:bCs/>
          <w:sz w:val="24"/>
        </w:rPr>
        <w:t>)</w:t>
      </w:r>
      <w:r>
        <w:rPr>
          <w:rFonts w:ascii="Bookman Old Style" w:hAnsi="Bookman Old Style"/>
          <w:b/>
          <w:bCs/>
          <w:sz w:val="24"/>
        </w:rPr>
        <w:t>/5/</w:t>
      </w:r>
      <w:r w:rsidRPr="00180BC1">
        <w:rPr>
          <w:rFonts w:ascii="Bookman Old Style" w:hAnsi="Bookman Old Style"/>
          <w:b/>
          <w:bCs/>
          <w:sz w:val="24"/>
        </w:rPr>
        <w:t>.</w:t>
      </w:r>
    </w:p>
    <w:p w14:paraId="1EA2EC84" w14:textId="77777777" w:rsidR="001256BF" w:rsidRDefault="001256BF" w:rsidP="001256BF">
      <w:pPr>
        <w:pStyle w:val="Tekstprzypisukocowego"/>
        <w:tabs>
          <w:tab w:val="left" w:pos="2500"/>
          <w:tab w:val="left" w:pos="4000"/>
          <w:tab w:val="left" w:pos="6400"/>
          <w:tab w:val="left" w:pos="10500"/>
        </w:tabs>
        <w:rPr>
          <w:rFonts w:ascii="Bookman Old Style" w:hAnsi="Bookman Old Style"/>
          <w:b/>
          <w:bCs/>
          <w:sz w:val="24"/>
        </w:rPr>
      </w:pPr>
    </w:p>
    <w:p w14:paraId="6B5852DA" w14:textId="55331C47" w:rsidR="001256BF" w:rsidRDefault="00CB0AA3" w:rsidP="001256BF">
      <w:pPr>
        <w:pStyle w:val="Tekstprzypisukocowego"/>
        <w:tabs>
          <w:tab w:val="left" w:pos="2500"/>
          <w:tab w:val="left" w:pos="4000"/>
          <w:tab w:val="left" w:pos="6400"/>
          <w:tab w:val="left" w:pos="10500"/>
        </w:tabs>
        <w:rPr>
          <w:rFonts w:ascii="Bookman Old Style" w:hAnsi="Bookman Old Style"/>
          <w:bCs/>
          <w:sz w:val="24"/>
        </w:rPr>
      </w:pPr>
      <w:r>
        <w:rPr>
          <w:rFonts w:ascii="Bookman Old Style" w:hAnsi="Bookman Old Style"/>
          <w:bCs/>
          <w:sz w:val="24"/>
        </w:rPr>
        <w:t>64</w:t>
      </w:r>
      <w:r w:rsidR="001256BF">
        <w:rPr>
          <w:rFonts w:ascii="Bookman Old Style" w:hAnsi="Bookman Old Style"/>
          <w:bCs/>
          <w:sz w:val="24"/>
        </w:rPr>
        <w:t>. W dniu 12.07.</w:t>
      </w:r>
      <w:r w:rsidR="00800E63">
        <w:rPr>
          <w:rFonts w:ascii="Bookman Old Style" w:hAnsi="Bookman Old Style"/>
          <w:bCs/>
          <w:sz w:val="24"/>
        </w:rPr>
        <w:t>200</w:t>
      </w:r>
      <w:r w:rsidR="001256BF">
        <w:rPr>
          <w:rFonts w:ascii="Bookman Old Style" w:hAnsi="Bookman Old Style"/>
          <w:bCs/>
          <w:sz w:val="24"/>
        </w:rPr>
        <w:t>8r. Ewa L. jadąc samochodem pożyczonym na chwilę od  narzeczonego Kacpra G. potrąciła na przejściu dla pieszych Beatę Z., po czym zbiegła, pozostawiając ją bez pomocy. Świadkowie zapisali jednak numery rejestracyjne i w tym samym dniu ustalono sprawcę i właściciela pojazdu. Po zakończeniu leczenia  Beata Z. wyjechała  zawodowo na Słowację, a po powrocie, w dniu 14.08.20</w:t>
      </w:r>
      <w:r w:rsidR="00800E63">
        <w:rPr>
          <w:rFonts w:ascii="Bookman Old Style" w:hAnsi="Bookman Old Style"/>
          <w:bCs/>
          <w:sz w:val="24"/>
        </w:rPr>
        <w:t>1</w:t>
      </w:r>
      <w:r w:rsidR="001256BF">
        <w:rPr>
          <w:rFonts w:ascii="Bookman Old Style" w:hAnsi="Bookman Old Style"/>
          <w:bCs/>
          <w:sz w:val="24"/>
        </w:rPr>
        <w:t>2r. wniosła pozew przeciwko Ewie L. i Kacprowi G. o zapłatę solidarnie odszkodowania i zadośćuczynienia. Kacper G. podniósł zarzut przedawnienia. Wskaż, czy zarzut jest zasadny w odniesieniu do jednego i drugiego pozwanego, a nadto, czy podniesienie skutecznie tego zarzutu przez jednego pozwanego działa na rzecz drugiego z nich?</w:t>
      </w:r>
    </w:p>
    <w:p w14:paraId="366F594D" w14:textId="77777777" w:rsidR="001256BF" w:rsidRDefault="001256BF" w:rsidP="001256BF">
      <w:pPr>
        <w:pStyle w:val="Tekstprzypisukocowego"/>
        <w:tabs>
          <w:tab w:val="left" w:pos="2500"/>
          <w:tab w:val="left" w:pos="4000"/>
          <w:tab w:val="left" w:pos="6400"/>
          <w:tab w:val="left" w:pos="10500"/>
        </w:tabs>
        <w:rPr>
          <w:rFonts w:ascii="Bookman Old Style" w:hAnsi="Bookman Old Style"/>
          <w:bCs/>
          <w:sz w:val="18"/>
          <w:szCs w:val="18"/>
        </w:rPr>
      </w:pPr>
    </w:p>
    <w:p w14:paraId="68C1AC39" w14:textId="1C51B67B" w:rsidR="001256BF" w:rsidRDefault="00CB0AA3" w:rsidP="001256BF">
      <w:pPr>
        <w:pStyle w:val="Tekstprzypisukocowego"/>
        <w:tabs>
          <w:tab w:val="left" w:pos="2500"/>
          <w:tab w:val="left" w:pos="4000"/>
          <w:tab w:val="left" w:pos="6400"/>
          <w:tab w:val="left" w:pos="10500"/>
        </w:tabs>
        <w:rPr>
          <w:rFonts w:ascii="Bookman Old Style" w:hAnsi="Bookman Old Style"/>
          <w:bCs/>
          <w:sz w:val="24"/>
          <w:szCs w:val="24"/>
        </w:rPr>
      </w:pPr>
      <w:r>
        <w:rPr>
          <w:rFonts w:ascii="Bookman Old Style" w:hAnsi="Bookman Old Style"/>
          <w:bCs/>
          <w:sz w:val="24"/>
          <w:szCs w:val="24"/>
        </w:rPr>
        <w:t>65</w:t>
      </w:r>
      <w:r w:rsidR="001256BF">
        <w:rPr>
          <w:rFonts w:ascii="Bookman Old Style" w:hAnsi="Bookman Old Style"/>
          <w:bCs/>
          <w:sz w:val="24"/>
          <w:szCs w:val="24"/>
        </w:rPr>
        <w:t>. Terminal Kontenerowy – Spółka z o.o.  zajmująca się wyładowywaniem ze statków i transportem kontenerów, została pozwana przez Leona Z.o zapłatę odszkodowania i zadośćuczynienia. Powód uległ bowiem wypadkowi – przygnieceniu przez kontener w czasie wyładunku, a spółka ponosi odpowiedzialność na zasadzie ryzyka. Strona pozwana, nie kwestionując tych twierdzeń, zarzuciła, że nie było najmniejszych uchybień w organizacji  wyładunku kontenerów; wszystko odbywało się zgodnie z instrukcjami bezpieczeństwa, zatem brak bezprawności. Sąd nadto ustalił, że powód przyczynił się do zdarzenia w 60 %, z powodu swego zachowania w miejscu wyładunku. Rozważ skuteczność obrony; jaki powinien być wyrok sądu?</w:t>
      </w:r>
    </w:p>
    <w:p w14:paraId="68F8EAF5" w14:textId="77777777" w:rsidR="001256BF" w:rsidRDefault="001256BF" w:rsidP="001256BF">
      <w:pPr>
        <w:pStyle w:val="Tekstprzypisukocowego"/>
        <w:tabs>
          <w:tab w:val="left" w:pos="2500"/>
          <w:tab w:val="left" w:pos="4000"/>
          <w:tab w:val="left" w:pos="6400"/>
          <w:tab w:val="left" w:pos="10500"/>
        </w:tabs>
      </w:pPr>
    </w:p>
    <w:p w14:paraId="305ABA8E" w14:textId="6C455BF1" w:rsidR="001256BF" w:rsidRDefault="00CB0AA3" w:rsidP="001256BF">
      <w:pPr>
        <w:pStyle w:val="Tekstprzypisukocowego"/>
        <w:tabs>
          <w:tab w:val="left" w:pos="2500"/>
          <w:tab w:val="left" w:pos="4000"/>
          <w:tab w:val="left" w:pos="6400"/>
          <w:tab w:val="left" w:pos="10500"/>
        </w:tabs>
        <w:rPr>
          <w:rFonts w:ascii="Bookman Old Style" w:hAnsi="Bookman Old Style"/>
          <w:bCs/>
          <w:sz w:val="24"/>
          <w:szCs w:val="24"/>
        </w:rPr>
      </w:pPr>
      <w:r>
        <w:rPr>
          <w:rFonts w:ascii="Bookman Old Style" w:hAnsi="Bookman Old Style"/>
          <w:bCs/>
          <w:sz w:val="24"/>
          <w:szCs w:val="24"/>
        </w:rPr>
        <w:t>66</w:t>
      </w:r>
      <w:r w:rsidR="001256BF">
        <w:rPr>
          <w:rFonts w:ascii="Bookman Old Style" w:hAnsi="Bookman Old Style"/>
          <w:bCs/>
          <w:sz w:val="24"/>
          <w:szCs w:val="24"/>
        </w:rPr>
        <w:t>. Powód wystąpił przeciwko Przedsiębiorstwu Energetycznemu w Ł. o zapłatę odszkodowania w związku z faktem porażenia go prądem i koniecznej hospitalizacji. W dniu 27.07.2000r. powód grabił siano w polu, opodal linii napowietrznej przesyłowej wysokiego napięcia, eksploatowanej przez stronę pozwaną. W trakcie burzy z wyładowaniami atmosferycznymi linia doznała uszkodzenia i powód został porażony przez opadający kabel. Powód wskazywał, że  nie stosowano najwyższego standardu zabezpieczeń (odgromników, właściwych izolatorów).</w:t>
      </w:r>
      <w:r w:rsidR="001256BF" w:rsidRPr="00063E7D">
        <w:rPr>
          <w:rFonts w:ascii="Bookman Old Style" w:hAnsi="Bookman Old Style"/>
          <w:bCs/>
          <w:sz w:val="24"/>
          <w:szCs w:val="24"/>
        </w:rPr>
        <w:t xml:space="preserve"> </w:t>
      </w:r>
      <w:r w:rsidR="001256BF">
        <w:rPr>
          <w:rFonts w:ascii="Bookman Old Style" w:hAnsi="Bookman Old Style"/>
          <w:bCs/>
          <w:sz w:val="24"/>
          <w:szCs w:val="24"/>
        </w:rPr>
        <w:t>Przedsiębiorstwo podniosło, że przyczyną wypadku była siła wyższa ( uderzenie pioruna), oraz że najwyższego standardu zabezpieczeń nie stosuje się w Polsce, a nawet nie wszędzie w Europie, z uwagi na ich koszt. Rozważ zasadność powództwa i obrony.</w:t>
      </w:r>
    </w:p>
    <w:p w14:paraId="23B3B59A" w14:textId="77777777" w:rsidR="001256BF" w:rsidRDefault="001256BF" w:rsidP="001256BF">
      <w:pPr>
        <w:pStyle w:val="Tekstprzypisukocowego"/>
        <w:tabs>
          <w:tab w:val="left" w:pos="2500"/>
          <w:tab w:val="left" w:pos="4000"/>
          <w:tab w:val="left" w:pos="6400"/>
          <w:tab w:val="left" w:pos="10500"/>
        </w:tabs>
        <w:rPr>
          <w:rFonts w:ascii="Bookman Old Style" w:hAnsi="Bookman Old Style"/>
          <w:bCs/>
          <w:sz w:val="18"/>
          <w:szCs w:val="18"/>
        </w:rPr>
      </w:pPr>
    </w:p>
    <w:p w14:paraId="404A8A85" w14:textId="71A5637B" w:rsidR="001256BF" w:rsidRDefault="00CB0AA3" w:rsidP="001256BF">
      <w:pPr>
        <w:autoSpaceDE w:val="0"/>
        <w:autoSpaceDN w:val="0"/>
        <w:adjustRightInd w:val="0"/>
        <w:rPr>
          <w:rFonts w:ascii="Bookman Old Style" w:hAnsi="Bookman Old Style"/>
        </w:rPr>
      </w:pPr>
      <w:r>
        <w:rPr>
          <w:rFonts w:ascii="Bookman Old Style" w:hAnsi="Bookman Old Style"/>
        </w:rPr>
        <w:t>67</w:t>
      </w:r>
      <w:r w:rsidR="001256BF">
        <w:rPr>
          <w:rFonts w:ascii="Bookman Old Style" w:hAnsi="Bookman Old Style"/>
        </w:rPr>
        <w:t xml:space="preserve">. Jan G. kierując swoim samochodem osobowym, zawadził o samochód  transportowy Kopalni Węgla Kamiennego, który zauważył zbyt późno. Samochód zatrzymał się częściowo na jezdni i poboczu  z powodu awarii, </w:t>
      </w:r>
      <w:r w:rsidR="001256BF">
        <w:rPr>
          <w:rFonts w:ascii="Bookman Old Style" w:hAnsi="Bookman Old Style"/>
        </w:rPr>
        <w:lastRenderedPageBreak/>
        <w:t>miał włączone światła awaryjne, ale brak było trójkąta ostrzegawczego. Jan G. jechał zaś z nadmierną prędkością, mimo złych warunków pogodowych. W wyniku kolizji uszkodzony został samochód Jana G. oraz odniosła obrażenia pasażerka – żona Jana G. pozostająca z nim we wspólności ustawowej. Anna G. dochodziła od ubezpieczyciela, z którym umowę ubezpieczenia OC zawarła Kopalnia – odszkodowania za zniszczony samochód, kosztów leczenia i zadośćuczynienia. Proszę wskazać i uzasadnić rozstrzygnięcie.</w:t>
      </w:r>
    </w:p>
    <w:p w14:paraId="06B0E54A" w14:textId="77777777" w:rsidR="001256BF" w:rsidRDefault="001256BF" w:rsidP="001256BF">
      <w:pPr>
        <w:autoSpaceDE w:val="0"/>
        <w:autoSpaceDN w:val="0"/>
        <w:adjustRightInd w:val="0"/>
        <w:rPr>
          <w:rFonts w:ascii="Bookman Old Style" w:hAnsi="Bookman Old Style"/>
          <w:sz w:val="18"/>
          <w:szCs w:val="18"/>
        </w:rPr>
      </w:pPr>
    </w:p>
    <w:p w14:paraId="4B58FA9C" w14:textId="6604F51B" w:rsidR="001256BF" w:rsidRDefault="00CB0AA3" w:rsidP="001256BF">
      <w:pPr>
        <w:autoSpaceDE w:val="0"/>
        <w:autoSpaceDN w:val="0"/>
        <w:adjustRightInd w:val="0"/>
        <w:rPr>
          <w:rFonts w:ascii="Bookman Old Style" w:hAnsi="Bookman Old Style"/>
        </w:rPr>
      </w:pPr>
      <w:r>
        <w:rPr>
          <w:rFonts w:ascii="Bookman Old Style" w:hAnsi="Bookman Old Style"/>
        </w:rPr>
        <w:t>68</w:t>
      </w:r>
      <w:r w:rsidR="001256BF">
        <w:rPr>
          <w:rFonts w:ascii="Bookman Old Style" w:hAnsi="Bookman Old Style"/>
        </w:rPr>
        <w:t>. W dniu 3 stycznia 2004r. w miejscowości N. na głównej drodze przelotowej doszło do zderzenia  dwóch samochodów osobowych. Skutkiem kolizji było uszkodzenie obu pojazdów, oraz lekkie uszkodzenia kierowców oraz ich pasażerów, którymi byli kolega i koleżanka  podwożeni do pracy. Oboje kierowcy tak samo przyczynili się do wypadku. Wskaż, na jakich zasadach odpowiadają kierowcy wobec siebie oraz w stosunku do pasażerów obu pojazdów? Czy  przyczynienie się do doznanej szkody przez pasażera jednego pojazdu, osobę obcą,  poprzez przeszkadzanie kierowcy w prowadzeniu pojazdu wskutek wszczęcia emocjonalnej kłótni – uzasadnia obniżenie odszkodowania należne tej osobie od posiadacza drugiego pojazdu?</w:t>
      </w:r>
    </w:p>
    <w:p w14:paraId="2F930B63" w14:textId="77777777" w:rsidR="001256BF" w:rsidRDefault="001256BF" w:rsidP="001256BF"/>
    <w:p w14:paraId="3728B134" w14:textId="77777777" w:rsidR="001256BF" w:rsidRDefault="001256BF" w:rsidP="001256BF">
      <w:pPr>
        <w:autoSpaceDE w:val="0"/>
        <w:autoSpaceDN w:val="0"/>
        <w:adjustRightInd w:val="0"/>
        <w:rPr>
          <w:rFonts w:ascii="Bookman Old Style" w:hAnsi="Bookman Old Style"/>
          <w:b/>
        </w:rPr>
      </w:pPr>
      <w:r>
        <w:rPr>
          <w:rFonts w:ascii="Bookman Old Style" w:hAnsi="Bookman Old Style"/>
          <w:b/>
        </w:rPr>
        <w:t>Wykonanie zobowiązań i skutki ich niewykonania/5/.</w:t>
      </w:r>
    </w:p>
    <w:p w14:paraId="2F22E25F" w14:textId="77777777" w:rsidR="001256BF" w:rsidRDefault="001256BF" w:rsidP="001256BF">
      <w:pPr>
        <w:autoSpaceDE w:val="0"/>
        <w:autoSpaceDN w:val="0"/>
        <w:adjustRightInd w:val="0"/>
        <w:rPr>
          <w:rFonts w:ascii="Bookman Old Style" w:hAnsi="Bookman Old Style"/>
          <w:b/>
        </w:rPr>
      </w:pPr>
    </w:p>
    <w:p w14:paraId="68531F1D" w14:textId="7DF21855" w:rsidR="001256BF" w:rsidRDefault="00CB0AA3" w:rsidP="001256BF">
      <w:pPr>
        <w:autoSpaceDE w:val="0"/>
        <w:autoSpaceDN w:val="0"/>
        <w:adjustRightInd w:val="0"/>
        <w:rPr>
          <w:rFonts w:ascii="Bookman Old Style" w:hAnsi="Bookman Old Style"/>
        </w:rPr>
      </w:pPr>
      <w:r>
        <w:rPr>
          <w:rFonts w:ascii="Bookman Old Style" w:hAnsi="Bookman Old Style"/>
        </w:rPr>
        <w:t>69</w:t>
      </w:r>
      <w:r w:rsidR="001256BF" w:rsidRPr="00D74D97">
        <w:rPr>
          <w:rFonts w:ascii="Bookman Old Style" w:hAnsi="Bookman Old Style"/>
        </w:rPr>
        <w:t>. Maria W.</w:t>
      </w:r>
      <w:r w:rsidR="001256BF">
        <w:rPr>
          <w:rFonts w:ascii="Bookman Old Style" w:hAnsi="Bookman Old Style"/>
        </w:rPr>
        <w:t xml:space="preserve"> zawarła z  Janem S. umowę  pożyczki. Po nadejściu terminu, wobec braku spłaty Jan S.wytoczył powództwo o całość kwoty z odsetkami. W trakcie procesu Maria W. wpłaciła  na jego rzecz znaczną kwotę, z zaznaczeniem na przekazie „na poczet pożyczki”. Jan S.dokonał zaliczenia kwoty w pierwszym rzędzie na poczet umownych odsetek, potem należności głównej  i  podtrzymał powództwo co do reszty kwoty głównej. Maria W. wnosząc o oddalenie powództwa wskazała, że gdyby dokonać zaliczenia w pierwszej kolejności na poczet kwoty głównej, to wszystko jest uiszczone. Podnosiła, że powód nie mógł dokonać zaliczenia w oparciu o art. 451 par 1 zd 2 </w:t>
      </w:r>
      <w:smartTag w:uri="lexAThandschemas/lexAThand" w:element="lexATakty">
        <w:smartTagPr>
          <w:attr w:name="ProductID" w:val="kc"/>
        </w:smartTagPr>
        <w:r w:rsidR="001256BF">
          <w:rPr>
            <w:rFonts w:ascii="Bookman Old Style" w:hAnsi="Bookman Old Style"/>
          </w:rPr>
          <w:t>kc</w:t>
        </w:r>
      </w:smartTag>
      <w:r w:rsidR="001256BF">
        <w:rPr>
          <w:rFonts w:ascii="Bookman Old Style" w:hAnsi="Bookman Old Style"/>
        </w:rPr>
        <w:t>, skoro miała wobec niego tylko jeden dług, a nie kilka. 1/Oceń prawidłowość stanowiska pozwanej.2/Czy gdyby przyjąć, że zachodzi możliwość zaliczenia przez wierzyciela świadczenia dłużnika w pierwszym rzędzie na poczet należności ubocznych, to czy do należności tych można zaliczyć koszty postępowania egzekucyjnego?</w:t>
      </w:r>
    </w:p>
    <w:p w14:paraId="57DD9C1C" w14:textId="77777777" w:rsidR="001256BF" w:rsidRDefault="001256BF" w:rsidP="001256BF">
      <w:pPr>
        <w:autoSpaceDE w:val="0"/>
        <w:autoSpaceDN w:val="0"/>
        <w:adjustRightInd w:val="0"/>
        <w:rPr>
          <w:rFonts w:ascii="Bookman Old Style" w:hAnsi="Bookman Old Style"/>
          <w:sz w:val="18"/>
          <w:szCs w:val="18"/>
        </w:rPr>
      </w:pPr>
    </w:p>
    <w:p w14:paraId="6BBAD2AF" w14:textId="429817BC" w:rsidR="001256BF" w:rsidRDefault="00CB0AA3" w:rsidP="001256BF">
      <w:pPr>
        <w:autoSpaceDE w:val="0"/>
        <w:autoSpaceDN w:val="0"/>
        <w:adjustRightInd w:val="0"/>
        <w:rPr>
          <w:rFonts w:ascii="Bookman Old Style" w:hAnsi="Bookman Old Style"/>
        </w:rPr>
      </w:pPr>
      <w:r>
        <w:rPr>
          <w:rFonts w:ascii="Bookman Old Style" w:hAnsi="Bookman Old Style"/>
        </w:rPr>
        <w:t>70</w:t>
      </w:r>
      <w:r w:rsidR="001256BF">
        <w:rPr>
          <w:rFonts w:ascii="Bookman Old Style" w:hAnsi="Bookman Old Style"/>
        </w:rPr>
        <w:t>. Strony zastrzegły w umowie najmu, iż z chwilą jej rozwiązania wynajmujący dokona zwrotu wszystkich nakładów na lokal poczynionych przez najemcę, a najemca zwróci lokal dopiero po wykonaniu tego zobowiązania. Po 2 latach trwania najmu  spółka z o.o. w K. jako  wynajmujący, wypowiedziała najemcy umowę zgodnie z umownym terminem wypowiedzenia. Po jego upływie najemca zażądał zwrotu nakładów, odmawiając wydania lokalu. W procesie o eksmisję najemca wnosił o oddalenie powództwa i  podał kwotę nakładów; zaś powodowa spółka podnosiła, że najemca nie może korzystać z prawa zatrzymania, a zastrzeżenie przeciwne jest nieważne. Proszę rozstrzygnąć sprawę i zaprojektować treść wyroku.</w:t>
      </w:r>
    </w:p>
    <w:p w14:paraId="79316EB8" w14:textId="77777777" w:rsidR="001256BF" w:rsidRDefault="001256BF" w:rsidP="001256BF">
      <w:pPr>
        <w:autoSpaceDE w:val="0"/>
        <w:autoSpaceDN w:val="0"/>
        <w:adjustRightInd w:val="0"/>
        <w:rPr>
          <w:rFonts w:ascii="Bookman Old Style" w:hAnsi="Bookman Old Style"/>
          <w:sz w:val="18"/>
          <w:szCs w:val="18"/>
        </w:rPr>
      </w:pPr>
    </w:p>
    <w:p w14:paraId="78717F74" w14:textId="2DADC742" w:rsidR="001256BF" w:rsidRDefault="009928CA" w:rsidP="001256BF">
      <w:pPr>
        <w:autoSpaceDE w:val="0"/>
        <w:autoSpaceDN w:val="0"/>
        <w:adjustRightInd w:val="0"/>
        <w:rPr>
          <w:rFonts w:ascii="Bookman Old Style" w:hAnsi="Bookman Old Style"/>
        </w:rPr>
      </w:pPr>
      <w:r>
        <w:rPr>
          <w:rFonts w:ascii="Bookman Old Style" w:hAnsi="Bookman Old Style"/>
        </w:rPr>
        <w:t>71</w:t>
      </w:r>
      <w:r w:rsidR="001256BF">
        <w:rPr>
          <w:rFonts w:ascii="Bookman Old Style" w:hAnsi="Bookman Old Style"/>
        </w:rPr>
        <w:t xml:space="preserve">. Jarosław K. i Wacław S. zawarli w dniu 25.01.2004r. umowę kupna – sprzedaży samochodu osobowego marki Nissan Primera za kwotę 35 000 zł, </w:t>
      </w:r>
      <w:r w:rsidR="001256BF">
        <w:rPr>
          <w:rFonts w:ascii="Bookman Old Style" w:hAnsi="Bookman Old Style"/>
        </w:rPr>
        <w:lastRenderedPageBreak/>
        <w:t>płatną w czterech ratach do dnia 25.04.2004r. Jarosław K. wydał samochód od razu nabywcy. Ponieważ Wacław S. nie uiścił trzeciej raty w terminie, gdyż nie zebrał pieniędzy na czas, Jarosław K. wyznaczył mu dodatkowy miesięczny termin do zapłaty z zaznaczeniem, że w razie braku zapłaty odstąpi od umowy. Pismem z dnia 15.06.2004r. Jarosław K. odstąpił od umowy sprzedaży z dnia 25.01.2004r, a następnie wytoczył powództwo o złożenie oświadczenia woli przez pozwanego przenoszącego własność samochodu. Pozwany wniósł o oddalenie powództwa i stwierdził, że powód jak dotąd nie zwrócił dwóch rat za samochód, więc nie może domagać się przeniesienia własności. 1/Oceń zasadność powództwa, 2/ jakie skutki prawne wywołuje odstąpienie od umowy przenoszącej własność rzeczy?.</w:t>
      </w:r>
    </w:p>
    <w:p w14:paraId="353373A9" w14:textId="77777777" w:rsidR="001256BF" w:rsidRDefault="001256BF" w:rsidP="001256BF">
      <w:pPr>
        <w:autoSpaceDE w:val="0"/>
        <w:autoSpaceDN w:val="0"/>
        <w:adjustRightInd w:val="0"/>
        <w:rPr>
          <w:rFonts w:ascii="Bookman Old Style" w:hAnsi="Bookman Old Style"/>
          <w:sz w:val="18"/>
          <w:szCs w:val="18"/>
        </w:rPr>
      </w:pPr>
    </w:p>
    <w:p w14:paraId="11E8F13D" w14:textId="1C76ED90" w:rsidR="001256BF" w:rsidRDefault="009928CA" w:rsidP="001256BF">
      <w:pPr>
        <w:autoSpaceDE w:val="0"/>
        <w:autoSpaceDN w:val="0"/>
        <w:adjustRightInd w:val="0"/>
        <w:rPr>
          <w:rFonts w:ascii="Bookman Old Style" w:hAnsi="Bookman Old Style"/>
        </w:rPr>
      </w:pPr>
      <w:r>
        <w:rPr>
          <w:rFonts w:ascii="Bookman Old Style" w:hAnsi="Bookman Old Style"/>
        </w:rPr>
        <w:t>72</w:t>
      </w:r>
      <w:r w:rsidR="001256BF">
        <w:rPr>
          <w:rFonts w:ascii="Bookman Old Style" w:hAnsi="Bookman Old Style"/>
        </w:rPr>
        <w:t>. Marian M. w pozwie przeciwko Janowi A. domaga się zasądzenia ustawowych odsetek od kwoty 44000 zł za okres od 16.07.2002r. do 31.10.2003r. Kwota ta miała być przez dłużnika spłacona do dnia 15.07.2002. Dłużnik Jan A. złożył tę kwotę w dniu 5.05.2003r. do depozytu sądowego, składając równocześnie wniosek, który sąd uwzględnił postanowieniem z dnia 1.06.2003r, zezwalając na złożenie świadczenia do depozytu. Podstawą była okoliczność zmiany adresu wierzyciela, zaś dłużnik nie znał nowego adresu. W dniu 31.10.2003r. Marian M. podjął kwotę z depozytu i obecnie twierdzi, że dłużnik we wniosku o złożenie do depozytu sądowego zataił, że znał adres wierzyciela, na co przedstawia wnioski dowodowe. Pozwany wnosi o oddalenie powództwa, zarzucając, że skoro sąd zezwolił mu na złożenie świadczenia do depozytu, to zwolnił się ze zobowiązania. Oceń stanowiska stron i uzasadnij prawidłowe rozstrzygnięcie.</w:t>
      </w:r>
    </w:p>
    <w:p w14:paraId="307B78A5" w14:textId="77777777" w:rsidR="001256BF" w:rsidRDefault="001256BF" w:rsidP="001256BF">
      <w:pPr>
        <w:autoSpaceDE w:val="0"/>
        <w:autoSpaceDN w:val="0"/>
        <w:adjustRightInd w:val="0"/>
        <w:rPr>
          <w:rFonts w:ascii="Bookman Old Style" w:hAnsi="Bookman Old Style"/>
          <w:sz w:val="18"/>
          <w:szCs w:val="18"/>
        </w:rPr>
      </w:pPr>
    </w:p>
    <w:p w14:paraId="0BD0105C" w14:textId="3874504D" w:rsidR="001256BF" w:rsidRDefault="009928CA" w:rsidP="001256BF">
      <w:pPr>
        <w:autoSpaceDE w:val="0"/>
        <w:autoSpaceDN w:val="0"/>
        <w:adjustRightInd w:val="0"/>
        <w:rPr>
          <w:rFonts w:ascii="Bookman Old Style" w:hAnsi="Bookman Old Style"/>
        </w:rPr>
      </w:pPr>
      <w:r>
        <w:rPr>
          <w:rFonts w:ascii="Bookman Old Style" w:hAnsi="Bookman Old Style"/>
        </w:rPr>
        <w:t>73</w:t>
      </w:r>
      <w:r w:rsidR="001256BF">
        <w:rPr>
          <w:rFonts w:ascii="Bookman Old Style" w:hAnsi="Bookman Old Style"/>
        </w:rPr>
        <w:t>.</w:t>
      </w:r>
      <w:r w:rsidR="001256BF" w:rsidRPr="00CC39EB">
        <w:rPr>
          <w:rFonts w:ascii="Bookman Old Style" w:hAnsi="Bookman Old Style"/>
        </w:rPr>
        <w:t>Powodowie, Krzysztof i Anna A., prowadzący Hurtownię "Import-Eksport" w M., żądali zasądzenia od pozwanej Krystyny K. prowadzącej Hurt-Detal Artykułami Spożywczymi i Przemysłowymi w L., kwoty 4.000 zł stanowiącej skapitalizowane odsetki z tytułu opóźnienia w zapłacie należ</w:t>
      </w:r>
      <w:r w:rsidR="001256BF">
        <w:rPr>
          <w:rFonts w:ascii="Bookman Old Style" w:hAnsi="Bookman Old Style"/>
        </w:rPr>
        <w:t xml:space="preserve">ności ujętej w rachunku nr </w:t>
      </w:r>
      <w:smartTag w:uri="lexAThandschemas/lexAThand" w:element="lexATorzeczenia">
        <w:smartTagPr>
          <w:attr w:name="ProductID2" w:val="140/01"/>
        </w:smartTagPr>
        <w:r w:rsidR="001256BF">
          <w:rPr>
            <w:rFonts w:ascii="Bookman Old Style" w:hAnsi="Bookman Old Style"/>
          </w:rPr>
          <w:t>140/0</w:t>
        </w:r>
        <w:r w:rsidR="001256BF" w:rsidRPr="00CC39EB">
          <w:rPr>
            <w:rFonts w:ascii="Bookman Old Style" w:hAnsi="Bookman Old Style"/>
          </w:rPr>
          <w:t>1</w:t>
        </w:r>
      </w:smartTag>
      <w:r w:rsidR="001256BF" w:rsidRPr="00CC39EB">
        <w:rPr>
          <w:rFonts w:ascii="Bookman Old Style" w:hAnsi="Bookman Old Style"/>
        </w:rPr>
        <w:t xml:space="preserve">, wystawionego przez powodów za sprzedaną pozwanej w dniu 3 lipca 2001 r. tkaninę bawełnianą i dostarczonego wraz z towarem. </w:t>
      </w:r>
      <w:r w:rsidR="001256BF">
        <w:rPr>
          <w:rFonts w:ascii="Bookman Old Style" w:hAnsi="Bookman Old Style"/>
        </w:rPr>
        <w:t xml:space="preserve">Odsetki należą się za okres od 15.07.2001 ( czas do zapłaty po dostarczeniu rachunku) do momentu faktycznej zapłaty. </w:t>
      </w:r>
      <w:r w:rsidR="001256BF" w:rsidRPr="00CC39EB">
        <w:rPr>
          <w:rFonts w:ascii="Bookman Old Style" w:hAnsi="Bookman Old Style"/>
        </w:rPr>
        <w:t>Pozwana podniosła, że strony nie uzgodniły w umowie terminu zapłaty za dostarczony towar oraz że pozwana uregulowała rachunek bezzwłocznie po otrzymaniu wezwania do zapłaty</w:t>
      </w:r>
      <w:r w:rsidR="001256BF">
        <w:rPr>
          <w:rFonts w:ascii="Bookman Old Style" w:hAnsi="Bookman Old Style"/>
        </w:rPr>
        <w:t>, to jest 8.08.2001r</w:t>
      </w:r>
      <w:r w:rsidR="001256BF" w:rsidRPr="00CC39EB">
        <w:rPr>
          <w:rFonts w:ascii="Bookman Old Style" w:hAnsi="Bookman Old Style"/>
        </w:rPr>
        <w:t>. Wnosiła o oddalenie powództwa.</w:t>
      </w:r>
      <w:r w:rsidR="001256BF">
        <w:rPr>
          <w:rFonts w:ascii="Bookman Old Style" w:hAnsi="Bookman Old Style"/>
        </w:rPr>
        <w:t xml:space="preserve"> Proszę rozstrzygnąć sprawę.</w:t>
      </w:r>
    </w:p>
    <w:p w14:paraId="481058A9" w14:textId="77777777" w:rsidR="001256BF" w:rsidRDefault="001256BF" w:rsidP="001256BF">
      <w:pPr>
        <w:pStyle w:val="Tekstprzypisukocowego"/>
        <w:tabs>
          <w:tab w:val="left" w:pos="2500"/>
          <w:tab w:val="left" w:pos="4000"/>
          <w:tab w:val="left" w:pos="6400"/>
          <w:tab w:val="left" w:pos="10500"/>
        </w:tabs>
        <w:rPr>
          <w:rFonts w:ascii="Bookman Old Style" w:hAnsi="Bookman Old Style"/>
          <w:b/>
          <w:bCs/>
          <w:sz w:val="24"/>
          <w:szCs w:val="24"/>
        </w:rPr>
      </w:pPr>
      <w:r>
        <w:rPr>
          <w:rFonts w:ascii="Bookman Old Style" w:hAnsi="Bookman Old Style"/>
          <w:b/>
          <w:bCs/>
          <w:sz w:val="24"/>
          <w:szCs w:val="24"/>
        </w:rPr>
        <w:t>Potrącenie, przelew, skarga pauliańska.</w:t>
      </w:r>
    </w:p>
    <w:p w14:paraId="362630EC" w14:textId="77777777" w:rsidR="001256BF" w:rsidRDefault="001256BF" w:rsidP="001256BF">
      <w:pPr>
        <w:pStyle w:val="Tekstprzypisukocowego"/>
        <w:tabs>
          <w:tab w:val="left" w:pos="2500"/>
          <w:tab w:val="left" w:pos="4000"/>
          <w:tab w:val="left" w:pos="6400"/>
          <w:tab w:val="left" w:pos="10500"/>
        </w:tabs>
        <w:rPr>
          <w:rFonts w:ascii="Bookman Old Style" w:hAnsi="Bookman Old Style"/>
          <w:b/>
          <w:bCs/>
          <w:sz w:val="24"/>
          <w:szCs w:val="24"/>
        </w:rPr>
      </w:pPr>
    </w:p>
    <w:p w14:paraId="722FAC4B" w14:textId="6F1AC433" w:rsidR="001256BF" w:rsidRDefault="009928CA" w:rsidP="001256BF">
      <w:pPr>
        <w:pStyle w:val="Tekstprzypisukocowego"/>
        <w:tabs>
          <w:tab w:val="left" w:pos="2500"/>
          <w:tab w:val="left" w:pos="4000"/>
          <w:tab w:val="left" w:pos="6400"/>
          <w:tab w:val="left" w:pos="10500"/>
        </w:tabs>
        <w:rPr>
          <w:rFonts w:ascii="Bookman Old Style" w:hAnsi="Bookman Old Style"/>
          <w:bCs/>
          <w:sz w:val="24"/>
          <w:szCs w:val="24"/>
        </w:rPr>
      </w:pPr>
      <w:r>
        <w:rPr>
          <w:rFonts w:ascii="Bookman Old Style" w:hAnsi="Bookman Old Style"/>
          <w:bCs/>
          <w:sz w:val="24"/>
          <w:szCs w:val="24"/>
        </w:rPr>
        <w:t>74</w:t>
      </w:r>
      <w:r w:rsidR="001256BF">
        <w:rPr>
          <w:rFonts w:ascii="Bookman Old Style" w:hAnsi="Bookman Old Style"/>
          <w:bCs/>
          <w:sz w:val="24"/>
          <w:szCs w:val="24"/>
        </w:rPr>
        <w:t>. Marek B. wniósł pozew o zapłatę kwoty 50 000 zł przeciwko Janowi S. Przed zakończeniem procesu – zgłosił zarzut potrącenia  tej wierzytelności  w równolegle toczonym procesie ( w innym sądzie) z powództwa Jana S. przeciwko Markowi B o zapłatę 40 000 zł. Jan S. w tej drugiej sprawie podniósł, że nie można potrącić wierzytelności, skoro toczy się co do niej równoległe postępowanie sądowe, a nadto, że zgłoszenie zarzutu potrącenia nastąpiło już po zamknięciu rozprawy. Wskaż przesłanki do skutecznego dokonania potrącenia i rozważ stanowiska stron.</w:t>
      </w:r>
    </w:p>
    <w:p w14:paraId="29F19BEE" w14:textId="77777777" w:rsidR="001256BF" w:rsidRDefault="001256BF" w:rsidP="001256BF">
      <w:pPr>
        <w:pStyle w:val="Tekstprzypisukocowego"/>
        <w:tabs>
          <w:tab w:val="left" w:pos="2500"/>
          <w:tab w:val="left" w:pos="4000"/>
          <w:tab w:val="left" w:pos="6400"/>
          <w:tab w:val="left" w:pos="10500"/>
        </w:tabs>
        <w:rPr>
          <w:rFonts w:ascii="Bookman Old Style" w:hAnsi="Bookman Old Style"/>
          <w:bCs/>
          <w:sz w:val="24"/>
          <w:szCs w:val="24"/>
        </w:rPr>
      </w:pPr>
    </w:p>
    <w:p w14:paraId="34F7B57B" w14:textId="0020FA75" w:rsidR="001256BF" w:rsidRDefault="009928CA" w:rsidP="001256BF">
      <w:pPr>
        <w:pStyle w:val="Tekstprzypisukocowego"/>
        <w:tabs>
          <w:tab w:val="left" w:pos="2500"/>
          <w:tab w:val="left" w:pos="4000"/>
          <w:tab w:val="left" w:pos="6400"/>
          <w:tab w:val="left" w:pos="10500"/>
        </w:tabs>
        <w:rPr>
          <w:rFonts w:ascii="Bookman Old Style" w:hAnsi="Bookman Old Style"/>
          <w:bCs/>
          <w:sz w:val="24"/>
          <w:szCs w:val="24"/>
        </w:rPr>
      </w:pPr>
      <w:r>
        <w:rPr>
          <w:rFonts w:ascii="Bookman Old Style" w:hAnsi="Bookman Old Style"/>
          <w:bCs/>
          <w:sz w:val="24"/>
          <w:szCs w:val="24"/>
        </w:rPr>
        <w:lastRenderedPageBreak/>
        <w:t>75</w:t>
      </w:r>
      <w:r w:rsidR="001256BF">
        <w:rPr>
          <w:rFonts w:ascii="Bookman Old Style" w:hAnsi="Bookman Old Style"/>
          <w:bCs/>
          <w:sz w:val="24"/>
          <w:szCs w:val="24"/>
        </w:rPr>
        <w:t xml:space="preserve">. Spółka X S.A. w K. domagała się zasądzenia od spółki Y w W. kwoty 60 000 zł z ustawowymi odsetkami od dn. 25.11.2000r., podnosząc, że w dniu 17.11.2000r. nabyła w drodze cesji od Janusza S. jego wierzytelność względem pozwanej spółki w kwocie 60 000 zł. Umowa brzmiała następująco: „Janusz S. dokonuje na rzecz spółki X przelewu swojej wierzytelności w kwocie 60 000 zł, którą posiada w stosunku do spółki Y”. Pozwana spółka Y wniosła o oddalenie powództwa, zarzucając nieważność zawartej umowy przelewu, wobec faktu, że umowa nie zawiera </w:t>
      </w:r>
      <w:r w:rsidR="001256BF">
        <w:rPr>
          <w:rFonts w:ascii="Bookman Old Style" w:hAnsi="Bookman Old Style"/>
          <w:bCs/>
          <w:i/>
          <w:sz w:val="24"/>
          <w:szCs w:val="24"/>
        </w:rPr>
        <w:t>causa</w:t>
      </w:r>
      <w:r w:rsidR="001256BF">
        <w:rPr>
          <w:rFonts w:ascii="Bookman Old Style" w:hAnsi="Bookman Old Style"/>
          <w:bCs/>
          <w:sz w:val="24"/>
          <w:szCs w:val="24"/>
        </w:rPr>
        <w:t xml:space="preserve"> – nie jest to ani sprzedaż, ani zamiana, ani darowizna. 1/ Oceń zasadność zarzutu; 2/Czy dłużnik może podnosić zarzut dotyczący  stosunku wewnętrznego między cedentem a cesjonariuszem? 3/ jaki skutek wywołuje brak </w:t>
      </w:r>
      <w:r w:rsidR="001256BF" w:rsidRPr="006C4C1C">
        <w:rPr>
          <w:rFonts w:ascii="Bookman Old Style" w:hAnsi="Bookman Old Style"/>
          <w:bCs/>
          <w:i/>
          <w:sz w:val="24"/>
          <w:szCs w:val="24"/>
        </w:rPr>
        <w:t>causa</w:t>
      </w:r>
      <w:r w:rsidR="001256BF">
        <w:rPr>
          <w:rFonts w:ascii="Bookman Old Style" w:hAnsi="Bookman Old Style"/>
          <w:bCs/>
          <w:i/>
          <w:sz w:val="24"/>
          <w:szCs w:val="24"/>
        </w:rPr>
        <w:t xml:space="preserve"> </w:t>
      </w:r>
      <w:r w:rsidR="001256BF">
        <w:rPr>
          <w:rFonts w:ascii="Bookman Old Style" w:hAnsi="Bookman Old Style"/>
          <w:bCs/>
          <w:sz w:val="24"/>
          <w:szCs w:val="24"/>
        </w:rPr>
        <w:t>przy umowie przelewu?</w:t>
      </w:r>
    </w:p>
    <w:p w14:paraId="1DF9F61E" w14:textId="77777777" w:rsidR="001256BF" w:rsidRDefault="001256BF" w:rsidP="001256BF">
      <w:pPr>
        <w:pStyle w:val="Tekstprzypisukocowego"/>
        <w:tabs>
          <w:tab w:val="left" w:pos="2500"/>
          <w:tab w:val="left" w:pos="4000"/>
          <w:tab w:val="left" w:pos="6400"/>
          <w:tab w:val="left" w:pos="10500"/>
        </w:tabs>
        <w:rPr>
          <w:rFonts w:ascii="Bookman Old Style" w:hAnsi="Bookman Old Style"/>
          <w:bCs/>
          <w:sz w:val="18"/>
          <w:szCs w:val="18"/>
        </w:rPr>
      </w:pPr>
    </w:p>
    <w:p w14:paraId="1963ACD9" w14:textId="7631EA2D" w:rsidR="001256BF" w:rsidRDefault="009928CA" w:rsidP="001256BF">
      <w:pPr>
        <w:pStyle w:val="Tekstprzypisukocowego"/>
        <w:tabs>
          <w:tab w:val="left" w:pos="2500"/>
          <w:tab w:val="left" w:pos="4000"/>
          <w:tab w:val="left" w:pos="6400"/>
          <w:tab w:val="left" w:pos="10500"/>
        </w:tabs>
        <w:rPr>
          <w:rFonts w:ascii="Bookman Old Style" w:hAnsi="Bookman Old Style"/>
          <w:bCs/>
          <w:sz w:val="24"/>
          <w:szCs w:val="24"/>
        </w:rPr>
      </w:pPr>
      <w:r>
        <w:rPr>
          <w:rFonts w:ascii="Bookman Old Style" w:hAnsi="Bookman Old Style"/>
          <w:bCs/>
          <w:sz w:val="24"/>
          <w:szCs w:val="24"/>
        </w:rPr>
        <w:t>76</w:t>
      </w:r>
      <w:r w:rsidR="001256BF">
        <w:rPr>
          <w:rFonts w:ascii="Bookman Old Style" w:hAnsi="Bookman Old Style"/>
          <w:bCs/>
          <w:sz w:val="24"/>
          <w:szCs w:val="24"/>
        </w:rPr>
        <w:t>. Jerzy W. żądał w pozwie od Stefana C. zapłaty kwoty 15 000 zł z tytułu swej wierzytelności. Stefan C. wskazał na pisemną umowę zmiany dłużnika zawartą z Martą K. i żądał oddalenia powództwa, twierdząc, że wierzyciel nie sprzeciwiał się tej zmianie; na tę okoliczność zgłosił dowód z zeznań świadków. Wierzyciel zaprzeczył, aby wiedział cokolwiek o umowie zmiany dłużnika.</w:t>
      </w:r>
      <w:r w:rsidR="006D584E">
        <w:rPr>
          <w:rFonts w:ascii="Bookman Old Style" w:hAnsi="Bookman Old Style"/>
          <w:bCs/>
          <w:sz w:val="24"/>
          <w:szCs w:val="24"/>
        </w:rPr>
        <w:t xml:space="preserve"> W procesie wykazano, że Jerzy W</w:t>
      </w:r>
      <w:r w:rsidR="001256BF">
        <w:rPr>
          <w:rFonts w:ascii="Bookman Old Style" w:hAnsi="Bookman Old Style"/>
          <w:bCs/>
          <w:sz w:val="24"/>
          <w:szCs w:val="24"/>
        </w:rPr>
        <w:t>. powiedział Stefanowi C. że się zgadza na zmianę dłużnika, ale następnie dowiedział się, że Marta K. zawiesiła działalność gospodarczą z powodu trudności finansowych i zmienił zdanie. 1/ Jak należy rozstrzygnąć sprawę? 2/Czy w przypadku umowy między wierzycielem a przejemcą obowiązują takie same wymogi co do zgody dłużnika jak w wypadku umowy między dłużnikami i zgody wierzyciela?</w:t>
      </w:r>
    </w:p>
    <w:p w14:paraId="1FEAD368" w14:textId="77777777" w:rsidR="001256BF" w:rsidRDefault="001256BF" w:rsidP="001256BF">
      <w:pPr>
        <w:pStyle w:val="Tekstprzypisukocowego"/>
        <w:tabs>
          <w:tab w:val="left" w:pos="2500"/>
          <w:tab w:val="left" w:pos="4000"/>
          <w:tab w:val="left" w:pos="6400"/>
          <w:tab w:val="left" w:pos="10500"/>
        </w:tabs>
        <w:rPr>
          <w:rFonts w:ascii="Bookman Old Style" w:hAnsi="Bookman Old Style"/>
          <w:bCs/>
          <w:sz w:val="18"/>
          <w:szCs w:val="18"/>
        </w:rPr>
      </w:pPr>
    </w:p>
    <w:p w14:paraId="0EBCF6B4" w14:textId="77777777" w:rsidR="001256BF" w:rsidRPr="001C2C6F" w:rsidRDefault="001256BF" w:rsidP="001256BF">
      <w:pPr>
        <w:pStyle w:val="Tekstprzypisukocowego"/>
        <w:tabs>
          <w:tab w:val="left" w:pos="2500"/>
          <w:tab w:val="left" w:pos="4000"/>
          <w:tab w:val="left" w:pos="6400"/>
          <w:tab w:val="left" w:pos="10500"/>
        </w:tabs>
        <w:rPr>
          <w:rFonts w:ascii="Bookman Old Style" w:hAnsi="Bookman Old Style"/>
          <w:bCs/>
          <w:sz w:val="24"/>
          <w:szCs w:val="24"/>
        </w:rPr>
      </w:pPr>
    </w:p>
    <w:p w14:paraId="02511A88" w14:textId="77777777" w:rsidR="001256BF" w:rsidRPr="005F16EE" w:rsidRDefault="001256BF" w:rsidP="001256BF"/>
    <w:p w14:paraId="7C737D4A" w14:textId="77777777" w:rsidR="001256BF" w:rsidRDefault="001256BF" w:rsidP="001256BF"/>
    <w:p w14:paraId="759A6E54" w14:textId="77777777" w:rsidR="0033056E" w:rsidRDefault="009661F9" w:rsidP="0033056E">
      <w:pPr>
        <w:rPr>
          <w:b/>
        </w:rPr>
      </w:pPr>
      <w:r>
        <w:rPr>
          <w:b/>
        </w:rPr>
        <w:t>Kazusy dodatkowe- różne.</w:t>
      </w:r>
    </w:p>
    <w:p w14:paraId="40877364" w14:textId="77777777" w:rsidR="00B13046" w:rsidRDefault="00B13046" w:rsidP="0033056E">
      <w:pPr>
        <w:rPr>
          <w:b/>
        </w:rPr>
      </w:pPr>
    </w:p>
    <w:p w14:paraId="2762AC4E" w14:textId="59E76A15" w:rsidR="00B13046" w:rsidRPr="00B13046" w:rsidRDefault="009928CA" w:rsidP="00B13046">
      <w:pPr>
        <w:spacing w:after="200" w:line="276" w:lineRule="auto"/>
        <w:rPr>
          <w:rFonts w:ascii="Times New (W1)" w:eastAsiaTheme="minorHAnsi" w:hAnsi="Times New (W1)" w:cstheme="minorBidi"/>
          <w:color w:val="000000"/>
          <w:lang w:eastAsia="en-US"/>
        </w:rPr>
      </w:pPr>
      <w:r>
        <w:rPr>
          <w:rFonts w:ascii="Times New (W1)" w:eastAsiaTheme="minorHAnsi" w:hAnsi="Times New (W1)" w:cstheme="minorBidi"/>
          <w:color w:val="000000"/>
          <w:lang w:eastAsia="en-US"/>
        </w:rPr>
        <w:t>77</w:t>
      </w:r>
      <w:r w:rsidR="00B13046" w:rsidRPr="00B13046">
        <w:rPr>
          <w:rFonts w:ascii="Times New (W1)" w:eastAsiaTheme="minorHAnsi" w:hAnsi="Times New (W1)" w:cstheme="minorBidi"/>
          <w:color w:val="000000"/>
          <w:lang w:eastAsia="en-US"/>
        </w:rPr>
        <w:t xml:space="preserve">.Powodowie w pozwie wskazali, że w   dniu 11 sierpnia 2008 r. zawarli z </w:t>
      </w:r>
      <w:r w:rsidR="00B13046" w:rsidRPr="00B13046">
        <w:rPr>
          <w:rFonts w:ascii="Times New (W1)" w:eastAsiaTheme="minorHAnsi" w:hAnsi="Times New (W1)" w:cstheme="minorBidi" w:hint="eastAsia"/>
          <w:color w:val="000000"/>
          <w:lang w:eastAsia="en-US"/>
        </w:rPr>
        <w:t>pozwaną</w:t>
      </w:r>
      <w:r w:rsidR="00B13046" w:rsidRPr="00B13046">
        <w:rPr>
          <w:rFonts w:ascii="Times New (W1)" w:eastAsiaTheme="minorHAnsi" w:hAnsi="Times New (W1)" w:cstheme="minorBidi"/>
          <w:color w:val="000000"/>
          <w:lang w:eastAsia="en-US"/>
        </w:rPr>
        <w:t xml:space="preserve"> przed notariuszem Przedwstępną Umowę Sprzedaży na podstawie której strony zobowiązały się zawrzeć umowę sprzedaży udziału wynoszącego po </w:t>
      </w:r>
      <w:r w:rsidR="001A06BF" w:rsidRPr="00B13046">
        <w:rPr>
          <w:rFonts w:ascii="Times New (W1)" w:eastAsiaTheme="minorHAnsi" w:hAnsi="Times New (W1)"/>
          <w:i/>
          <w:iCs/>
          <w:color w:val="000000"/>
          <w:shd w:val="clear" w:color="auto" w:fill="FFFFFF"/>
          <w:lang w:eastAsia="en-US"/>
        </w:rPr>
        <w:t xml:space="preserve"> </w:t>
      </w:r>
      <w:r w:rsidR="001A06BF" w:rsidRPr="00B13046">
        <w:rPr>
          <w:rFonts w:ascii="Times New (W1)" w:eastAsiaTheme="minorHAnsi" w:hAnsi="Times New (W1)"/>
          <w:iCs/>
          <w:color w:val="000000"/>
          <w:shd w:val="clear" w:color="auto" w:fill="FFFFFF"/>
          <w:lang w:eastAsia="en-US"/>
        </w:rPr>
        <w:t>1/2</w:t>
      </w:r>
      <w:r w:rsidR="00B13046" w:rsidRPr="00B13046">
        <w:rPr>
          <w:rFonts w:ascii="Times New (W1)" w:eastAsiaTheme="minorHAnsi" w:hAnsi="Times New (W1)" w:cstheme="minorBidi"/>
          <w:color w:val="000000"/>
          <w:lang w:eastAsia="en-US"/>
        </w:rPr>
        <w:t xml:space="preserve"> części we współwłasności działki zabudowanej domem jednorodzinnym o powierzchni użytkowej 160 m</w:t>
      </w:r>
      <w:r w:rsidR="00B13046" w:rsidRPr="00B13046">
        <w:rPr>
          <w:rFonts w:ascii="Times New (W1)" w:eastAsiaTheme="minorHAnsi" w:hAnsi="Times New (W1)" w:cstheme="minorBidi"/>
          <w:color w:val="000000"/>
          <w:vertAlign w:val="superscript"/>
          <w:lang w:eastAsia="en-US"/>
        </w:rPr>
        <w:t>2</w:t>
      </w:r>
      <w:r w:rsidR="00B13046" w:rsidRPr="00B13046">
        <w:rPr>
          <w:rFonts w:ascii="Times New (W1)" w:eastAsiaTheme="minorHAnsi" w:hAnsi="Times New (W1)" w:cstheme="minorBidi"/>
          <w:color w:val="000000"/>
          <w:lang w:eastAsia="en-US"/>
        </w:rPr>
        <w:t xml:space="preserve">, za ceny brutto po 239000,00 zł od każdego z powodów.  W punkcie V strony postanowiły, że wydanie przez pozwaną zabudowanej działki powodom we współposiadanie nastąpi w terminie do dnia 31 sierpnia 2009 r., po zapłacie przez powodów ceny w określonych terminach. W dniu 7 października 2009 r. strony zawarły w formie zwykłej pisemnej aneks do Przedwstępnej Umowy Sprzedaży z dnia 11 sierpnia 2009 r. w którym w pkt. </w:t>
      </w:r>
      <w:r w:rsidR="001A06BF" w:rsidRPr="00B13046">
        <w:rPr>
          <w:rFonts w:ascii="Times New (W1)" w:eastAsiaTheme="minorHAnsi" w:hAnsi="Times New (W1)"/>
          <w:color w:val="000000"/>
          <w:shd w:val="clear" w:color="auto" w:fill="FFFFFF"/>
          <w:lang w:eastAsia="en-US"/>
        </w:rPr>
        <w:t>1-17</w:t>
      </w:r>
      <w:r w:rsidR="00B13046" w:rsidRPr="00B13046">
        <w:rPr>
          <w:rFonts w:ascii="Times New (W1)" w:eastAsiaTheme="minorHAnsi" w:hAnsi="Times New (W1)" w:cstheme="minorBidi"/>
          <w:color w:val="000000"/>
          <w:lang w:eastAsia="en-US"/>
        </w:rPr>
        <w:t xml:space="preserve"> wskazały zmiany, jakie powodowie zdecydowali się wprowadzić do oferowanego standardu budowanej nieruchomości. Strony postanowiły także, że powodowie odstąpią od wymaganych od pozwanej kar umownych, jeżeli zawarcie umowy przyrzeczonej i/lub wydanie w posiadanie nieruchomości nastąpi po wymaganym w umowie terminie z powodu opóźnienia w dostawie i/lub montażu którejkolwiek z pozycji opisanych w pkt. 1-17. Nadto strony dokonały zmiany wysokości kar umownych opisanych w pkt. V umowy przedwstępnej. W dniu 9 czerwca 2010 r. po zawarciu umowy przyrzeczonej  strony podpisały protokół zdawczo- odbiorczy. Aktualnie powodowie domagają się zasądzenia kar umownych od pozwanej w związku z kilkumiesięcznym opóźnieniem wydania nieruchomości, w wysokości ustalonej w umowie </w:t>
      </w:r>
      <w:r w:rsidR="00B13046" w:rsidRPr="00B13046">
        <w:rPr>
          <w:rFonts w:ascii="Times New (W1)" w:eastAsiaTheme="minorHAnsi" w:hAnsi="Times New (W1)" w:cstheme="minorBidi"/>
          <w:color w:val="000000"/>
          <w:lang w:eastAsia="en-US"/>
        </w:rPr>
        <w:lastRenderedPageBreak/>
        <w:t>przedwstępnej. Pozwana zarzuca, że wykonywała prace dodatkowe na polecenie powodów i że aneksowano umowę przedwstępną. Czy ma rację? Czy aneks do umowy wiąże strony?</w:t>
      </w:r>
    </w:p>
    <w:p w14:paraId="0F78F22C" w14:textId="62CD82B6" w:rsidR="00B13046" w:rsidRDefault="009928CA" w:rsidP="00B13046">
      <w:pPr>
        <w:spacing w:after="200" w:line="276" w:lineRule="auto"/>
        <w:rPr>
          <w:rFonts w:eastAsiaTheme="minorHAnsi"/>
          <w:color w:val="000000"/>
          <w:lang w:eastAsia="en-US"/>
        </w:rPr>
      </w:pPr>
      <w:r>
        <w:rPr>
          <w:rFonts w:eastAsiaTheme="minorHAnsi"/>
          <w:color w:val="000000"/>
          <w:lang w:eastAsia="en-US"/>
        </w:rPr>
        <w:t>78</w:t>
      </w:r>
      <w:r w:rsidR="00B13046">
        <w:rPr>
          <w:rFonts w:eastAsiaTheme="minorHAnsi"/>
          <w:color w:val="000000"/>
          <w:lang w:eastAsia="en-US"/>
        </w:rPr>
        <w:t xml:space="preserve">. </w:t>
      </w:r>
      <w:r w:rsidR="00B13046" w:rsidRPr="00B13046">
        <w:rPr>
          <w:rFonts w:eastAsiaTheme="minorHAnsi"/>
          <w:color w:val="000000"/>
          <w:lang w:eastAsia="en-US"/>
        </w:rPr>
        <w:t>W dniu 21 maja 2009 r. powódka Magdalena S. zawarła z pozwanym Januszem K. umowę najmu lokalu magazynowego o powierzchni 440,5 m</w:t>
      </w:r>
      <w:r w:rsidR="001A06BF" w:rsidRPr="00B13046">
        <w:rPr>
          <w:rFonts w:eastAsia="Arial Narrow"/>
          <w:color w:val="000000"/>
          <w:spacing w:val="10"/>
          <w:shd w:val="clear" w:color="auto" w:fill="FFFFFF"/>
          <w:vertAlign w:val="superscript"/>
          <w:lang w:eastAsia="en-US"/>
        </w:rPr>
        <w:t>2</w:t>
      </w:r>
      <w:r w:rsidR="00B13046" w:rsidRPr="00B13046">
        <w:rPr>
          <w:rFonts w:eastAsiaTheme="minorHAnsi"/>
          <w:color w:val="000000"/>
          <w:lang w:eastAsia="en-US"/>
        </w:rPr>
        <w:t xml:space="preserve"> oraz lokali biurowych o powierzchni 73 m</w:t>
      </w:r>
      <w:r w:rsidR="001A06BF" w:rsidRPr="00B13046">
        <w:rPr>
          <w:rFonts w:eastAsia="Arial Narrow"/>
          <w:color w:val="000000"/>
          <w:spacing w:val="10"/>
          <w:shd w:val="clear" w:color="auto" w:fill="FFFFFF"/>
          <w:vertAlign w:val="superscript"/>
          <w:lang w:eastAsia="en-US"/>
        </w:rPr>
        <w:t>2</w:t>
      </w:r>
      <w:r w:rsidR="00B13046" w:rsidRPr="00B13046">
        <w:rPr>
          <w:rFonts w:eastAsiaTheme="minorHAnsi"/>
          <w:color w:val="000000"/>
          <w:lang w:eastAsia="en-US"/>
        </w:rPr>
        <w:t>. Tytułem zabezpieczenia należności czynszowych lub innych na rzecz wynajmującego, najemczyni wpłaciła kaucję w wysokości dwumiesięcznego czynszu wraz z mediami tj. kwotę 36 863,52 zł. W umowie postanowiono, iż wynajmujący może potrącić z zabezpieczenia najemcy: zaległe należności czynszowe i opłaty eksploatacyjne wraz z odsetkami, koszty związane z przywróceniem lokalu do stanu poprzedniego, gdy najemca nie wywiąże się z tego obowiązku, w pozostałych przypadkach wynajmujący zobowiązał się bezzwłocznie do zwrotu kwoty zabezpieczenia. Dodatkowo strony w pkt. VI ust. 4 umowy zastrzegły, iż wpłacona przez najemczynię kwota zabezpieczenia nie zostanie jej wypłacona w przypadku rozwiązania umowy w trybie określonym przez pkt. XVII umowy. Zgodnie z pkt. XVII ust. 1 umowy wynajmujący miał prawo rozwiązać umowę w sytuacji gdy najemczyni zalegała z zapłatą czynszu lub opłat eksploatacyjnych powyżej 7 dni.   Zaistniała ostatnia z sytuacji, a wynajmujący nie dokonał potrącenia zaległego czynszu z kaucji, występując osobno o zapłatę, a kaucję zatrzymał. W procesie o zapłatę czynszu pozwana dokonała potrącenia kaucji z zaległym czynszem i wskazała na  nieważność zapisu umownego o zatrzymaniu kaucji, jako ukrytej niedozwolonej kary umownej. Powód powołał się na swobodę umów. Rozstrzygnij spór.</w:t>
      </w:r>
    </w:p>
    <w:p w14:paraId="2DEF408D" w14:textId="50B5F33F" w:rsidR="00B13046" w:rsidRPr="00B13046" w:rsidRDefault="009928CA" w:rsidP="00B13046">
      <w:pPr>
        <w:autoSpaceDE w:val="0"/>
        <w:autoSpaceDN w:val="0"/>
        <w:adjustRightInd w:val="0"/>
        <w:rPr>
          <w:rFonts w:eastAsiaTheme="minorHAnsi"/>
          <w:lang w:eastAsia="en-US"/>
        </w:rPr>
      </w:pPr>
      <w:r>
        <w:rPr>
          <w:rFonts w:eastAsiaTheme="minorHAnsi"/>
          <w:lang w:eastAsia="en-US"/>
        </w:rPr>
        <w:t>79</w:t>
      </w:r>
      <w:r w:rsidR="00B13046" w:rsidRPr="00B13046">
        <w:rPr>
          <w:rFonts w:eastAsiaTheme="minorHAnsi"/>
          <w:lang w:eastAsia="en-US"/>
        </w:rPr>
        <w:t>.Po wypadku, za który odpowiada sprawca ubezpieczony OC w  zakładzie ubezpieczeń, naprawiono kilkuletni samochód powoda wstawiając do niego nowe części zamienne zamiast uszkodzonych kilkuletnich. W procesie o zapłatę odszkodowania w zakresie  kosztów  naprawy (wraz z kosztami części nowych)  - pozwany ubezpieczyciel zażądał obniżenia kwoty odszkodowania o różnicę wartości części nowych i używanych, które uległy uszkodzeniu. Zarzucił także, że powód nie wykazał, że wartość pojazdu nie uległa wzrostowi na skutek użycia nowych części. Odmówił także wypłaty w ramach likwidacji szkody kosztów zastępstwa powoda przez adwokata  poniesionych na etapie przesądowym, jak i kosztów wynajmu pojazdu zastępczego przez czas naprawy pojazdu..</w:t>
      </w:r>
    </w:p>
    <w:p w14:paraId="4E8C2E66" w14:textId="77777777" w:rsidR="00B13046" w:rsidRPr="00B13046" w:rsidRDefault="00B13046" w:rsidP="00B13046">
      <w:pPr>
        <w:autoSpaceDE w:val="0"/>
        <w:autoSpaceDN w:val="0"/>
        <w:adjustRightInd w:val="0"/>
        <w:rPr>
          <w:rFonts w:eastAsiaTheme="minorHAnsi"/>
          <w:lang w:eastAsia="en-US"/>
        </w:rPr>
      </w:pPr>
      <w:r w:rsidRPr="00B13046">
        <w:rPr>
          <w:rFonts w:eastAsiaTheme="minorHAnsi"/>
          <w:lang w:eastAsia="en-US"/>
        </w:rPr>
        <w:t>Czy stanowisko pozwanego może być uwzględnione? Kogo obciąża ciężar dowodu wzrostu wartości samochodu?</w:t>
      </w:r>
    </w:p>
    <w:p w14:paraId="72DCDC56" w14:textId="77777777" w:rsidR="00B13046" w:rsidRDefault="00B13046" w:rsidP="00B13046">
      <w:pPr>
        <w:spacing w:after="200" w:line="276" w:lineRule="auto"/>
        <w:rPr>
          <w:rFonts w:eastAsiaTheme="minorHAnsi"/>
          <w:color w:val="000000"/>
          <w:lang w:eastAsia="en-US"/>
        </w:rPr>
      </w:pPr>
    </w:p>
    <w:p w14:paraId="1DFDD4EB" w14:textId="5E895A24" w:rsidR="00493B03" w:rsidRPr="00493B03" w:rsidRDefault="009928CA" w:rsidP="00493B03">
      <w:pPr>
        <w:spacing w:after="200" w:line="276" w:lineRule="auto"/>
        <w:jc w:val="both"/>
        <w:rPr>
          <w:rFonts w:ascii="A" w:eastAsiaTheme="minorHAnsi" w:hAnsi="A" w:cs="A"/>
          <w:b/>
          <w:sz w:val="28"/>
          <w:szCs w:val="28"/>
          <w:lang w:eastAsia="en-US"/>
        </w:rPr>
      </w:pPr>
      <w:r>
        <w:rPr>
          <w:rFonts w:eastAsiaTheme="minorHAnsi"/>
          <w:lang w:eastAsia="en-US"/>
        </w:rPr>
        <w:t>80</w:t>
      </w:r>
      <w:r w:rsidR="00493B03" w:rsidRPr="00493B03">
        <w:rPr>
          <w:rFonts w:eastAsiaTheme="minorHAnsi"/>
          <w:lang w:eastAsia="en-US"/>
        </w:rPr>
        <w:t>. Małżonkowie Anna P. i Jan P. zostali obdarowani nieruchomością do majątku wspólnego. Darczyńca odwołał darowiznę  w stosunku do jednego z małżonków, rażąco niewdzięcznego, to jest Anny P. Po odwołaniu darczyńca z niewdzięcznym małżonkiem Anną P. zawarli umowę, mocą której małżonek przeniósł zwrotnie udział ½ w nieruchomości na rzecz darczyńcy. Darczyńca domaga się we wniosku skierowanym do sądu wpisania go do księgi wieczystej w ½ części obok drugiego małżonka Jana P., w stosunku do którego darowizna nie została odwołana. Czy Sąd uwzględni wniosek?</w:t>
      </w:r>
    </w:p>
    <w:p w14:paraId="2DDDF0A6" w14:textId="1FF6D870" w:rsidR="00493B03" w:rsidRPr="00493B03" w:rsidRDefault="009928CA" w:rsidP="00493B03">
      <w:pPr>
        <w:autoSpaceDE w:val="0"/>
        <w:autoSpaceDN w:val="0"/>
        <w:adjustRightInd w:val="0"/>
        <w:ind w:firstLine="425"/>
        <w:jc w:val="both"/>
        <w:rPr>
          <w:rFonts w:eastAsiaTheme="minorHAnsi"/>
          <w:lang w:eastAsia="en-US"/>
        </w:rPr>
      </w:pPr>
      <w:r>
        <w:rPr>
          <w:rFonts w:eastAsiaTheme="minorHAnsi"/>
          <w:lang w:eastAsia="en-US"/>
        </w:rPr>
        <w:t>81</w:t>
      </w:r>
      <w:r w:rsidR="00493B03" w:rsidRPr="00493B03">
        <w:rPr>
          <w:rFonts w:eastAsiaTheme="minorHAnsi"/>
          <w:lang w:eastAsia="en-US"/>
        </w:rPr>
        <w:t xml:space="preserve">. W dniu 10 czerwca 1995 r. strony zawarły  w zwykłej formie pisemnej umowę przedwstępną, w której pozwany zobowiązał się wybudować dla powódki lokal mieszkalny9. Termin oddania  lokalu do używania określono na dzień 30 listopada 1997 r. Po końcowym rozliczeniu miało nastąpić przeniesienie przez pozwanego na rzecz powódki prawa własności </w:t>
      </w:r>
      <w:r w:rsidR="00493B03" w:rsidRPr="00493B03">
        <w:rPr>
          <w:rFonts w:eastAsiaTheme="minorHAnsi"/>
          <w:lang w:eastAsia="en-US"/>
        </w:rPr>
        <w:lastRenderedPageBreak/>
        <w:t>lokalu wraz z ułamkową częścią gruntu, z zachowaniem formy notarialnej. Strony uzgodniły wstępną  cenę  jednego metra kwadratowego na 1.600 zł, powiększoną o podatek VAT, Ostateczna cena miała stanowić iloczyn powierzchni użytkowej i ceny jednego metra kwadratowego. Powódka zobowiązała się do zapłacenia pozwanemu na początek kwoty 192.000 zł. Reszta ceny miała być płacona w kwartalnych ratach, począwszy od dnia 30 września 1995 r., a kończąc na dniu 1 sierpnia 1997  r., w terminie siedmiu dni od doręczenia faktury. Strony przewidziały możliwość odstąpienia od umowy za trzymiesięcznym wypowiedzeniem, dla pozwanego wówczas, gdyby powódka dopuściła się zwłoki w zapłacie raty przez okres kwartału. Pozwany odstąpił od umowy z powodu miesięcznego opóźnienia przez powódkę w zapłacie raty, zwracając to, co powódka dotąd wpłaciła. Powódka w procesie domagała się zasądzenia odszkodowania w kwocie 264.870,00 zł, zaś po zaliczeniu wpłaconych kwot  ograniczyła żądanie do kwoty 156.490,59 zł. Dochodzone odszkodowanie odpowiada wartości analogicznego lokalu  o powierzchni 88,29 m</w:t>
      </w:r>
      <w:r w:rsidR="00493B03" w:rsidRPr="00493B03">
        <w:rPr>
          <w:rFonts w:eastAsiaTheme="minorHAnsi"/>
          <w:vertAlign w:val="superscript"/>
          <w:lang w:eastAsia="en-US"/>
        </w:rPr>
        <w:t>2</w:t>
      </w:r>
      <w:r w:rsidR="00493B03" w:rsidRPr="00493B03">
        <w:rPr>
          <w:rFonts w:eastAsiaTheme="minorHAnsi"/>
          <w:lang w:eastAsia="en-US"/>
        </w:rPr>
        <w:t>, według ceny 3.000 zł za jeden metr kwadratowy. Pozwany zarzucił, że odszkodowanie z umowy przedwstępnej odpowiada wyłącznie stracie związanej z kosztami jej zawarcia ( ujemny interes umowny), a nie jest odszkodowaniem pełnym. Nie jest to bowiem umowa zasadnicza, gdyż ta zgodnie z art. 9 u.w.l.powinna być zawarta w formie aktu notarialnego.</w:t>
      </w:r>
    </w:p>
    <w:p w14:paraId="3665C967" w14:textId="77777777" w:rsidR="00493B03" w:rsidRPr="00493B03" w:rsidRDefault="00493B03" w:rsidP="00493B03">
      <w:pPr>
        <w:autoSpaceDE w:val="0"/>
        <w:autoSpaceDN w:val="0"/>
        <w:adjustRightInd w:val="0"/>
        <w:ind w:firstLine="425"/>
        <w:jc w:val="both"/>
        <w:rPr>
          <w:rFonts w:eastAsiaTheme="minorHAnsi"/>
          <w:lang w:eastAsia="en-US"/>
        </w:rPr>
      </w:pPr>
      <w:r w:rsidRPr="00493B03">
        <w:rPr>
          <w:rFonts w:eastAsiaTheme="minorHAnsi"/>
          <w:lang w:eastAsia="en-US"/>
        </w:rPr>
        <w:t xml:space="preserve">Czy pozwany ma rację? </w:t>
      </w:r>
    </w:p>
    <w:p w14:paraId="79EC37A0" w14:textId="77777777" w:rsidR="00493B03" w:rsidRPr="00493B03" w:rsidRDefault="00493B03" w:rsidP="00493B03">
      <w:pPr>
        <w:autoSpaceDE w:val="0"/>
        <w:autoSpaceDN w:val="0"/>
        <w:adjustRightInd w:val="0"/>
        <w:rPr>
          <w:rFonts w:ascii="A" w:eastAsiaTheme="minorHAnsi" w:hAnsi="A" w:cs="A"/>
          <w:sz w:val="20"/>
          <w:szCs w:val="20"/>
          <w:lang w:eastAsia="en-US"/>
        </w:rPr>
      </w:pPr>
    </w:p>
    <w:p w14:paraId="761EF2B4" w14:textId="15125B0D" w:rsidR="00AD2F9F" w:rsidRPr="00AD2F9F" w:rsidRDefault="009928CA" w:rsidP="00AD2F9F">
      <w:r>
        <w:t>82</w:t>
      </w:r>
      <w:r w:rsidR="00AD2F9F" w:rsidRPr="00AD2F9F">
        <w:t xml:space="preserve">. Pozwana  Ewa G. w procesie z powództwa banku przeciwko niej o zapłatę zaległego kredytu konsumenckiego domagała się uznania za niedozwolone postanowienia wzorca umowy stosowanego przez "N.B.P." S.A. zawartego w § 49 ust. 2 ogólnych warunków prowadzenia rachunków bankowych klientów indywidualnych o następującej treści: "w przypadku zmiany danych, o których mowa w ust. 1 pkt 1 (adresu klienta), w zakresie danych adresowych do korespondencji  i braku zawiadomienia Banku, wszelką korespondencję wysłaną na adres będący w posiadaniu Banku uznaje się za dostarczoną". Pozwana twierdziła, że klauzula taka rażąco narusza interes klienta, zwłaszcza przy wypowiedzeniu kredytu, gdyż przenoszenie procesowej instytucji doręczenia zastępczego do wzorców umownych jest niezgodne z regułą wyrażoną w </w:t>
      </w:r>
      <w:hyperlink r:id="rId7" w:anchor="hiperlinkText.rpc?hiperlink=type=tresc:nro=Powszechny.1284582:part=a61&amp;full=1" w:tgtFrame="_parent" w:history="1">
        <w:r w:rsidR="00AD2F9F" w:rsidRPr="00AD2F9F">
          <w:rPr>
            <w:u w:val="single"/>
          </w:rPr>
          <w:t>art. 61</w:t>
        </w:r>
      </w:hyperlink>
      <w:r w:rsidR="00AD2F9F" w:rsidRPr="00AD2F9F">
        <w:t xml:space="preserve"> k.c.", zwłaszcza w stosunkach z konsumentami. Oceń zasadność obrony</w:t>
      </w:r>
    </w:p>
    <w:p w14:paraId="1C51CDB7" w14:textId="77777777" w:rsidR="00AD2F9F" w:rsidRPr="00AD2F9F" w:rsidRDefault="00AD2F9F" w:rsidP="00AD2F9F"/>
    <w:p w14:paraId="094DB5BB" w14:textId="6BD43FE4" w:rsidR="00E63CC1" w:rsidRPr="007550E7" w:rsidRDefault="009928CA" w:rsidP="00E63CC1">
      <w:r>
        <w:t>83</w:t>
      </w:r>
      <w:r w:rsidR="00E63CC1">
        <w:t>. Sebastian B. był wierzycielem w stosunku do Jadwigi K., która zbyła nieruchomość na rzecz Lecha P. Sebastian B. wytoczył przeciwko niemu roszczenie ze skargi pauliańskiej. Lech P. w warunkach art. 527 § 1 k.c. jako osoba trzecia uzyskał korzyść majątkową. W trakcie procesu Lech P. dokonał dalszego odpłatnego zbycia nieruchomości na rzecz osoby obcej Barbary F. Sebastian B. podtrzymał powództwo, zaś Lech P. zarzucił brak legitymacji biernej. 1/ Czy Sąd powinien uwzględnić powództwo w stosunku do Lecha P.? 2/ Czy Sebastian B. ma jeszcze jakieś inne roszczenia wobec osoby trzeciej ( Lecha P.) wobec pozbycia się przez nią majątku (nieruchomości)?</w:t>
      </w:r>
    </w:p>
    <w:p w14:paraId="05418F05" w14:textId="77777777" w:rsidR="00B13046" w:rsidRPr="00AD2F9F" w:rsidRDefault="00B13046" w:rsidP="00B13046">
      <w:pPr>
        <w:spacing w:after="200" w:line="276" w:lineRule="auto"/>
        <w:rPr>
          <w:rFonts w:eastAsiaTheme="minorHAnsi"/>
          <w:color w:val="000000"/>
          <w:lang w:eastAsia="en-US"/>
        </w:rPr>
      </w:pPr>
    </w:p>
    <w:p w14:paraId="3F185C41" w14:textId="77777777" w:rsidR="00B13046" w:rsidRPr="00AD2F9F" w:rsidRDefault="00B13046" w:rsidP="0033056E">
      <w:pPr>
        <w:rPr>
          <w:b/>
        </w:rPr>
      </w:pPr>
    </w:p>
    <w:p w14:paraId="2497EE40" w14:textId="77777777" w:rsidR="0033056E" w:rsidRPr="00C54C31" w:rsidRDefault="0033056E"/>
    <w:sectPr w:rsidR="0033056E" w:rsidRPr="00C54C31" w:rsidSect="00275520">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85AAD7" w14:textId="77777777" w:rsidR="00F84BC2" w:rsidRDefault="00F84BC2" w:rsidP="005E2CB0">
      <w:r>
        <w:separator/>
      </w:r>
    </w:p>
  </w:endnote>
  <w:endnote w:type="continuationSeparator" w:id="0">
    <w:p w14:paraId="5C7D36C8" w14:textId="77777777" w:rsidR="00F84BC2" w:rsidRDefault="00F84BC2" w:rsidP="005E2C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
    <w:altName w:val="Calibr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3620843"/>
      <w:docPartObj>
        <w:docPartGallery w:val="Page Numbers (Bottom of Page)"/>
        <w:docPartUnique/>
      </w:docPartObj>
    </w:sdtPr>
    <w:sdtEndPr>
      <w:rPr>
        <w:noProof/>
      </w:rPr>
    </w:sdtEndPr>
    <w:sdtContent>
      <w:p w14:paraId="408E94C7" w14:textId="77777777" w:rsidR="005E2CB0" w:rsidRDefault="006C4B3A">
        <w:pPr>
          <w:pStyle w:val="Stopka"/>
          <w:jc w:val="center"/>
        </w:pPr>
        <w:r>
          <w:fldChar w:fldCharType="begin"/>
        </w:r>
        <w:r w:rsidR="005E2CB0">
          <w:instrText xml:space="preserve"> PAGE   \* MERGEFORMAT </w:instrText>
        </w:r>
        <w:r>
          <w:fldChar w:fldCharType="separate"/>
        </w:r>
        <w:r w:rsidR="0033590E">
          <w:rPr>
            <w:noProof/>
          </w:rPr>
          <w:t>2</w:t>
        </w:r>
        <w:r>
          <w:rPr>
            <w:noProof/>
          </w:rPr>
          <w:fldChar w:fldCharType="end"/>
        </w:r>
      </w:p>
    </w:sdtContent>
  </w:sdt>
  <w:p w14:paraId="38EE74E4" w14:textId="77777777" w:rsidR="005E2CB0" w:rsidRDefault="005E2CB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FFCF5F" w14:textId="77777777" w:rsidR="00F84BC2" w:rsidRDefault="00F84BC2" w:rsidP="005E2CB0">
      <w:r>
        <w:separator/>
      </w:r>
    </w:p>
  </w:footnote>
  <w:footnote w:type="continuationSeparator" w:id="0">
    <w:p w14:paraId="5FB4DA7F" w14:textId="77777777" w:rsidR="00F84BC2" w:rsidRDefault="00F84BC2" w:rsidP="005E2C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6DE48A5"/>
    <w:multiLevelType w:val="hybridMultilevel"/>
    <w:tmpl w:val="74066642"/>
    <w:lvl w:ilvl="0" w:tplc="0415000F">
      <w:start w:val="3"/>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 w15:restartNumberingAfterBreak="0">
    <w:nsid w:val="5D054853"/>
    <w:multiLevelType w:val="hybridMultilevel"/>
    <w:tmpl w:val="03D0C238"/>
    <w:lvl w:ilvl="0" w:tplc="0415000F">
      <w:start w:val="2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 w15:restartNumberingAfterBreak="0">
    <w:nsid w:val="7C6A4655"/>
    <w:multiLevelType w:val="hybridMultilevel"/>
    <w:tmpl w:val="C7BCFC42"/>
    <w:lvl w:ilvl="0" w:tplc="C344B5C4">
      <w:start w:val="1"/>
      <w:numFmt w:val="bullet"/>
      <w:lvlText w:val="-"/>
      <w:lvlJc w:val="left"/>
      <w:pPr>
        <w:tabs>
          <w:tab w:val="num" w:pos="720"/>
        </w:tabs>
        <w:ind w:left="720" w:hanging="360"/>
      </w:pPr>
      <w:rPr>
        <w:rFonts w:ascii="Times New Roman" w:eastAsia="Times New Roman" w:hAnsi="Times New Roman" w:cs="Times New Roman"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num w:numId="1" w16cid:durableId="1863862611">
    <w:abstractNumId w:val="0"/>
  </w:num>
  <w:num w:numId="2" w16cid:durableId="2146965606">
    <w:abstractNumId w:val="1"/>
  </w:num>
  <w:num w:numId="3" w16cid:durableId="201491726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4C31"/>
    <w:rsid w:val="0009463D"/>
    <w:rsid w:val="000B442D"/>
    <w:rsid w:val="000B5303"/>
    <w:rsid w:val="001256BF"/>
    <w:rsid w:val="001637B5"/>
    <w:rsid w:val="001A06BF"/>
    <w:rsid w:val="001D51EA"/>
    <w:rsid w:val="0026605A"/>
    <w:rsid w:val="00275520"/>
    <w:rsid w:val="0033056E"/>
    <w:rsid w:val="00330879"/>
    <w:rsid w:val="0033590E"/>
    <w:rsid w:val="00387601"/>
    <w:rsid w:val="00397992"/>
    <w:rsid w:val="003C2610"/>
    <w:rsid w:val="00400E53"/>
    <w:rsid w:val="00493B03"/>
    <w:rsid w:val="004948A1"/>
    <w:rsid w:val="004A135B"/>
    <w:rsid w:val="004A1821"/>
    <w:rsid w:val="00567F24"/>
    <w:rsid w:val="00581FB6"/>
    <w:rsid w:val="005B5D85"/>
    <w:rsid w:val="005C03C9"/>
    <w:rsid w:val="005C289D"/>
    <w:rsid w:val="005E2CB0"/>
    <w:rsid w:val="00603DAF"/>
    <w:rsid w:val="00615CB3"/>
    <w:rsid w:val="00633666"/>
    <w:rsid w:val="006566FD"/>
    <w:rsid w:val="006C4B3A"/>
    <w:rsid w:val="006D584E"/>
    <w:rsid w:val="0073592F"/>
    <w:rsid w:val="007E5DB3"/>
    <w:rsid w:val="007F10E5"/>
    <w:rsid w:val="00800E63"/>
    <w:rsid w:val="008E5E0B"/>
    <w:rsid w:val="009169CB"/>
    <w:rsid w:val="009661F9"/>
    <w:rsid w:val="009928CA"/>
    <w:rsid w:val="00AD2F9F"/>
    <w:rsid w:val="00AF5B7B"/>
    <w:rsid w:val="00B13046"/>
    <w:rsid w:val="00B8694A"/>
    <w:rsid w:val="00B938AB"/>
    <w:rsid w:val="00BD7D59"/>
    <w:rsid w:val="00BF43AA"/>
    <w:rsid w:val="00C54C31"/>
    <w:rsid w:val="00CB0AA3"/>
    <w:rsid w:val="00D65BD8"/>
    <w:rsid w:val="00DA1AA8"/>
    <w:rsid w:val="00E63CC1"/>
    <w:rsid w:val="00E645B2"/>
    <w:rsid w:val="00E837F0"/>
    <w:rsid w:val="00E948D7"/>
    <w:rsid w:val="00F37005"/>
    <w:rsid w:val="00F84BC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lexAThandschemas/lexAThand" w:url=" " w:name="lexATakty"/>
  <w:smartTagType w:namespaceuri="urn:schemas-microsoft-com:office:smarttags" w:name="metricconverter"/>
  <w:smartTagType w:namespaceuri="lexAThandschemas/lexAThand" w:url=" " w:name="lexATelementyStruktury"/>
  <w:smartTagType w:namespaceuri="lexAThandschemas/lexAThand" w:url=" " w:name="lexATorzeczenia"/>
  <w:shapeDefaults>
    <o:shapedefaults v:ext="edit" spidmax="1026"/>
    <o:shapelayout v:ext="edit">
      <o:idmap v:ext="edit" data="1"/>
    </o:shapelayout>
  </w:shapeDefaults>
  <w:decimalSymbol w:val=","/>
  <w:listSeparator w:val=";"/>
  <w14:docId w14:val="35E71C7D"/>
  <w15:docId w15:val="{3BCAACFF-C8A4-4CE1-A57E-5F3009882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3056E"/>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semiHidden/>
    <w:rsid w:val="001256BF"/>
    <w:rPr>
      <w:sz w:val="20"/>
      <w:szCs w:val="20"/>
    </w:rPr>
  </w:style>
  <w:style w:type="character" w:customStyle="1" w:styleId="TekstprzypisukocowegoZnak">
    <w:name w:val="Tekst przypisu końcowego Znak"/>
    <w:basedOn w:val="Domylnaczcionkaakapitu"/>
    <w:link w:val="Tekstprzypisukocowego"/>
    <w:semiHidden/>
    <w:rsid w:val="001256BF"/>
    <w:rPr>
      <w:rFonts w:ascii="Times New Roman" w:eastAsia="Times New Roman" w:hAnsi="Times New Roman" w:cs="Times New Roman"/>
      <w:sz w:val="20"/>
      <w:szCs w:val="20"/>
      <w:lang w:eastAsia="pl-PL"/>
    </w:rPr>
  </w:style>
  <w:style w:type="paragraph" w:styleId="Tekstpodstawowy">
    <w:name w:val="Body Text"/>
    <w:basedOn w:val="Normalny"/>
    <w:link w:val="TekstpodstawowyZnak"/>
    <w:rsid w:val="001256BF"/>
    <w:pPr>
      <w:autoSpaceDE w:val="0"/>
      <w:autoSpaceDN w:val="0"/>
      <w:adjustRightInd w:val="0"/>
    </w:pPr>
    <w:rPr>
      <w:rFonts w:ascii="Bookman Old Style" w:hAnsi="Bookman Old Style" w:cs="Courier New"/>
      <w:color w:val="000000"/>
    </w:rPr>
  </w:style>
  <w:style w:type="character" w:customStyle="1" w:styleId="TekstpodstawowyZnak">
    <w:name w:val="Tekst podstawowy Znak"/>
    <w:basedOn w:val="Domylnaczcionkaakapitu"/>
    <w:link w:val="Tekstpodstawowy"/>
    <w:rsid w:val="001256BF"/>
    <w:rPr>
      <w:rFonts w:ascii="Bookman Old Style" w:eastAsia="Times New Roman" w:hAnsi="Bookman Old Style" w:cs="Courier New"/>
      <w:color w:val="000000"/>
      <w:sz w:val="24"/>
      <w:szCs w:val="24"/>
      <w:lang w:eastAsia="pl-PL"/>
    </w:rPr>
  </w:style>
  <w:style w:type="paragraph" w:styleId="Akapitzlist">
    <w:name w:val="List Paragraph"/>
    <w:basedOn w:val="Normalny"/>
    <w:uiPriority w:val="34"/>
    <w:qFormat/>
    <w:rsid w:val="00B13046"/>
    <w:pPr>
      <w:ind w:left="720"/>
      <w:contextualSpacing/>
    </w:pPr>
  </w:style>
  <w:style w:type="paragraph" w:styleId="Nagwek">
    <w:name w:val="header"/>
    <w:basedOn w:val="Normalny"/>
    <w:link w:val="NagwekZnak"/>
    <w:uiPriority w:val="99"/>
    <w:unhideWhenUsed/>
    <w:rsid w:val="005E2CB0"/>
    <w:pPr>
      <w:tabs>
        <w:tab w:val="center" w:pos="4536"/>
        <w:tab w:val="right" w:pos="9072"/>
      </w:tabs>
    </w:pPr>
  </w:style>
  <w:style w:type="character" w:customStyle="1" w:styleId="NagwekZnak">
    <w:name w:val="Nagłówek Znak"/>
    <w:basedOn w:val="Domylnaczcionkaakapitu"/>
    <w:link w:val="Nagwek"/>
    <w:uiPriority w:val="99"/>
    <w:rsid w:val="005E2CB0"/>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5E2CB0"/>
    <w:pPr>
      <w:tabs>
        <w:tab w:val="center" w:pos="4536"/>
        <w:tab w:val="right" w:pos="9072"/>
      </w:tabs>
    </w:pPr>
  </w:style>
  <w:style w:type="character" w:customStyle="1" w:styleId="StopkaZnak">
    <w:name w:val="Stopka Znak"/>
    <w:basedOn w:val="Domylnaczcionkaakapitu"/>
    <w:link w:val="Stopka"/>
    <w:uiPriority w:val="99"/>
    <w:rsid w:val="005E2CB0"/>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lex.online.wolterskluwer.pl/WKPLOnline/index.rp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23</Pages>
  <Words>10250</Words>
  <Characters>61502</Characters>
  <Application>Microsoft Office Word</Application>
  <DocSecurity>0</DocSecurity>
  <Lines>512</Lines>
  <Paragraphs>143</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71609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Gosia</dc:creator>
  <cp:lastModifiedBy>Małgorzata Łoboz</cp:lastModifiedBy>
  <cp:revision>5</cp:revision>
  <cp:lastPrinted>2011-04-05T23:38:00Z</cp:lastPrinted>
  <dcterms:created xsi:type="dcterms:W3CDTF">2020-04-23T14:54:00Z</dcterms:created>
  <dcterms:modified xsi:type="dcterms:W3CDTF">2025-05-04T16:07:00Z</dcterms:modified>
</cp:coreProperties>
</file>