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2FA06A" w14:textId="77777777" w:rsidR="003B2F89" w:rsidRPr="00BA3FC3" w:rsidRDefault="003B2F89" w:rsidP="003B2F89">
      <w:pPr>
        <w:spacing w:before="80" w:after="80"/>
        <w:rPr>
          <w:rFonts w:ascii="Times New Roman" w:hAnsi="Times New Roman"/>
          <w:b/>
          <w:i/>
          <w:sz w:val="24"/>
          <w:szCs w:val="24"/>
        </w:rPr>
      </w:pPr>
      <w:r w:rsidRPr="00BA3FC3">
        <w:rPr>
          <w:rFonts w:ascii="Times New Roman" w:hAnsi="Times New Roman"/>
          <w:b/>
          <w:i/>
          <w:sz w:val="24"/>
          <w:szCs w:val="24"/>
        </w:rPr>
        <w:t xml:space="preserve">Dr hab. Krzysztof Oplustil, prof. UJ  </w:t>
      </w:r>
    </w:p>
    <w:p w14:paraId="6829E27D" w14:textId="77777777" w:rsidR="003B2F89" w:rsidRPr="00BA3FC3" w:rsidRDefault="003B2F89" w:rsidP="003B2F89">
      <w:pPr>
        <w:spacing w:before="80" w:after="80"/>
        <w:rPr>
          <w:rFonts w:ascii="Times New Roman" w:hAnsi="Times New Roman"/>
          <w:b/>
          <w:i/>
          <w:sz w:val="24"/>
          <w:szCs w:val="24"/>
        </w:rPr>
      </w:pPr>
    </w:p>
    <w:p w14:paraId="29E2C967" w14:textId="77777777" w:rsidR="003B2F89" w:rsidRPr="00864A68" w:rsidRDefault="003B2F89" w:rsidP="003B2F89">
      <w:pPr>
        <w:spacing w:before="80" w:after="80"/>
        <w:jc w:val="center"/>
        <w:rPr>
          <w:rFonts w:ascii="Times New Roman" w:hAnsi="Times New Roman"/>
          <w:b/>
          <w:sz w:val="24"/>
          <w:szCs w:val="24"/>
        </w:rPr>
      </w:pPr>
      <w:r w:rsidRPr="00864A68">
        <w:rPr>
          <w:rFonts w:ascii="Times New Roman" w:hAnsi="Times New Roman"/>
          <w:b/>
          <w:sz w:val="24"/>
          <w:szCs w:val="24"/>
        </w:rPr>
        <w:t xml:space="preserve">Prawo spółek </w:t>
      </w:r>
    </w:p>
    <w:p w14:paraId="7C552EC9" w14:textId="77777777" w:rsidR="003B2F89" w:rsidRPr="00864A68" w:rsidRDefault="003B2F89" w:rsidP="003B2F89">
      <w:pPr>
        <w:spacing w:before="80" w:after="80"/>
        <w:jc w:val="center"/>
        <w:rPr>
          <w:rFonts w:ascii="Times New Roman" w:hAnsi="Times New Roman"/>
          <w:b/>
          <w:sz w:val="24"/>
          <w:szCs w:val="24"/>
        </w:rPr>
      </w:pPr>
      <w:r w:rsidRPr="00864A68">
        <w:rPr>
          <w:rFonts w:ascii="Times New Roman" w:hAnsi="Times New Roman"/>
          <w:b/>
          <w:sz w:val="24"/>
          <w:szCs w:val="24"/>
        </w:rPr>
        <w:t>KAZUSY</w:t>
      </w:r>
      <w:r>
        <w:rPr>
          <w:rFonts w:ascii="Times New Roman" w:hAnsi="Times New Roman"/>
          <w:b/>
          <w:sz w:val="24"/>
          <w:szCs w:val="24"/>
        </w:rPr>
        <w:t xml:space="preserve"> cz. 1</w:t>
      </w:r>
    </w:p>
    <w:p w14:paraId="6AF0C1F7" w14:textId="77777777" w:rsidR="003B2F89" w:rsidRPr="0092519A" w:rsidRDefault="003B2F89" w:rsidP="003B2F89">
      <w:pPr>
        <w:spacing w:before="80" w:after="80"/>
        <w:jc w:val="both"/>
        <w:rPr>
          <w:rFonts w:ascii="Times New Roman" w:hAnsi="Times New Roman"/>
          <w:b/>
          <w:i/>
          <w:sz w:val="24"/>
          <w:szCs w:val="24"/>
        </w:rPr>
      </w:pPr>
    </w:p>
    <w:p w14:paraId="314DFEC4" w14:textId="77777777" w:rsidR="003B2F89" w:rsidRPr="002A480C" w:rsidRDefault="003B2F89" w:rsidP="003B2F89">
      <w:pPr>
        <w:spacing w:before="80" w:after="80"/>
        <w:jc w:val="both"/>
        <w:rPr>
          <w:rFonts w:ascii="Times New Roman" w:hAnsi="Times New Roman"/>
          <w:b/>
          <w:sz w:val="24"/>
          <w:szCs w:val="24"/>
        </w:rPr>
      </w:pPr>
      <w:r>
        <w:rPr>
          <w:rFonts w:ascii="Times New Roman" w:hAnsi="Times New Roman"/>
          <w:b/>
          <w:sz w:val="24"/>
          <w:szCs w:val="24"/>
        </w:rPr>
        <w:t>Kazus 1</w:t>
      </w:r>
      <w:r w:rsidRPr="002A480C">
        <w:rPr>
          <w:rFonts w:ascii="Times New Roman" w:hAnsi="Times New Roman"/>
          <w:b/>
          <w:sz w:val="24"/>
          <w:szCs w:val="24"/>
        </w:rPr>
        <w:t xml:space="preserve"> </w:t>
      </w:r>
    </w:p>
    <w:p w14:paraId="18337D8C" w14:textId="44B241A6"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W dniu 4.10.20</w:t>
      </w:r>
      <w:r w:rsidR="002C2F22">
        <w:rPr>
          <w:rFonts w:ascii="Times New Roman" w:hAnsi="Times New Roman"/>
          <w:sz w:val="24"/>
          <w:szCs w:val="24"/>
        </w:rPr>
        <w:t>23</w:t>
      </w:r>
      <w:r>
        <w:rPr>
          <w:rFonts w:ascii="Times New Roman" w:hAnsi="Times New Roman"/>
          <w:sz w:val="24"/>
          <w:szCs w:val="24"/>
        </w:rPr>
        <w:t xml:space="preserve"> r. Marek T., Iwona O., Beata C. i Tomasz G. zawarli notarialną umowę spółki „Zorza” sp. z o.o. W tym samym dniu, w jednomyślnej uchwale wspólników, powołano Marka T., Iwonę O. i Tomasza G. do pierwszego zarządu spółki.</w:t>
      </w:r>
    </w:p>
    <w:p w14:paraId="0A641D42" w14:textId="77777777"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Marek T. zobowiązał się w umowie spółki do wniesienia prawa użytkowania wieczystego nieruchomości w zamian za udziały o wartości nominalnej równej 120 000 zł. Marek T. zataił jednak, że z uwagi na prawo dzierżawy, obciążające tę nieruchomość, jej realna wartości wynosi co najwyżej 80 000 złotych. O fakcie tym wiedziała jedynie Iwona O., pozostająca we wspólnym pożyciu z Markiem T.</w:t>
      </w:r>
    </w:p>
    <w:p w14:paraId="3DC325B3" w14:textId="5C229B49"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Beata C. z</w:t>
      </w:r>
      <w:r w:rsidR="00442225">
        <w:rPr>
          <w:rFonts w:ascii="Times New Roman" w:hAnsi="Times New Roman"/>
          <w:sz w:val="24"/>
          <w:szCs w:val="24"/>
        </w:rPr>
        <w:t>obowiązała się do objęła udziałów</w:t>
      </w:r>
      <w:r>
        <w:rPr>
          <w:rFonts w:ascii="Times New Roman" w:hAnsi="Times New Roman"/>
          <w:sz w:val="24"/>
          <w:szCs w:val="24"/>
        </w:rPr>
        <w:t xml:space="preserve"> o wartości nominalnej równej 70 000 zł w zamian za wkład pieniężny. Jednak w dniu 10.10.</w:t>
      </w:r>
      <w:r w:rsidR="002C2F22" w:rsidRPr="002C2F22">
        <w:rPr>
          <w:rFonts w:ascii="Times New Roman" w:hAnsi="Times New Roman"/>
          <w:sz w:val="24"/>
          <w:szCs w:val="24"/>
        </w:rPr>
        <w:t xml:space="preserve"> </w:t>
      </w:r>
      <w:r w:rsidR="002C2F22">
        <w:rPr>
          <w:rFonts w:ascii="Times New Roman" w:hAnsi="Times New Roman"/>
          <w:sz w:val="24"/>
          <w:szCs w:val="24"/>
        </w:rPr>
        <w:t>2023</w:t>
      </w:r>
      <w:r w:rsidR="002C2F22">
        <w:rPr>
          <w:rFonts w:ascii="Times New Roman" w:hAnsi="Times New Roman"/>
          <w:sz w:val="24"/>
          <w:szCs w:val="24"/>
        </w:rPr>
        <w:t xml:space="preserve"> </w:t>
      </w:r>
      <w:r>
        <w:rPr>
          <w:rFonts w:ascii="Times New Roman" w:hAnsi="Times New Roman"/>
          <w:sz w:val="24"/>
          <w:szCs w:val="24"/>
        </w:rPr>
        <w:t>r. Beata C. zawarła ze spółką w organizacji umowę sprzedaży swojego samochodu, za cenę 60 000 zł. Umowa sprzedaży zawierała klauzulę potrącenia roszczenia sprzedawcy o zapłatę ceny z roszczeniem spółki o wniesienie wkładu. W rezultacie Beata C. wniosła do spółki jedynie 10.000 złotych. Rzeczywista rynkowa wartość sprzedanego samochodu, z uwagi na wady silnika, wynosiła najwyżej 40 000 złotych.</w:t>
      </w:r>
      <w:r w:rsidR="00A87D58">
        <w:rPr>
          <w:rFonts w:ascii="Times New Roman" w:hAnsi="Times New Roman"/>
          <w:sz w:val="24"/>
          <w:szCs w:val="24"/>
        </w:rPr>
        <w:t xml:space="preserve"> </w:t>
      </w:r>
    </w:p>
    <w:p w14:paraId="028A0AC4" w14:textId="77777777"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Iwona O. zobowiązała się do wniesienia do spółki wkładu pieniężnego o wartości 30 000 złotych. Jednak „Zorza” spółka z o.o. w organizacji, reprezentowana przez członka zarządu Marka T (umowa spółki przewiduje jednoosobową reprezentację), zawarła z Iwoną O. umowę o obsługę prawną (Iwona O. jest radcą prawnym), w której, w zamian za doradztwo prawne związane z tworzeniem spółki, przyznano jej wynagrodzenie w wysokości 20 000 złotych. Następnie zawarto umowę potrącenia między spółką w organizacji a Iwoną O., której przedmiotem było roszczenie spółki o wniesienie wkładu i roszczenie Iwony O. o wypłatę wynagrodzenia. W rezultacie Iwona O. wniosła do spółki jedynie 10 000 zł.</w:t>
      </w:r>
    </w:p>
    <w:p w14:paraId="04CBA04D" w14:textId="77777777"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 xml:space="preserve">Czwarty wspólnik, a zarazem członek zarządu, Tomasz G., zobowiązał się do wniesienia do spółki </w:t>
      </w:r>
      <w:r w:rsidR="00A87D58">
        <w:rPr>
          <w:rFonts w:ascii="Times New Roman" w:hAnsi="Times New Roman"/>
          <w:sz w:val="24"/>
          <w:szCs w:val="24"/>
        </w:rPr>
        <w:t xml:space="preserve">w zamian za objęte udziały </w:t>
      </w:r>
      <w:r>
        <w:rPr>
          <w:rFonts w:ascii="Times New Roman" w:hAnsi="Times New Roman"/>
          <w:sz w:val="24"/>
          <w:szCs w:val="24"/>
        </w:rPr>
        <w:t xml:space="preserve">wkładu </w:t>
      </w:r>
      <w:r w:rsidR="00A87D58">
        <w:rPr>
          <w:rFonts w:ascii="Times New Roman" w:hAnsi="Times New Roman"/>
          <w:sz w:val="24"/>
          <w:szCs w:val="24"/>
        </w:rPr>
        <w:t xml:space="preserve">mieszanego, tj. gotówki </w:t>
      </w:r>
      <w:r>
        <w:rPr>
          <w:rFonts w:ascii="Times New Roman" w:hAnsi="Times New Roman"/>
          <w:sz w:val="24"/>
          <w:szCs w:val="24"/>
        </w:rPr>
        <w:t>w wysokości 20 000 zł</w:t>
      </w:r>
      <w:r w:rsidR="00A87D58">
        <w:rPr>
          <w:rFonts w:ascii="Times New Roman" w:hAnsi="Times New Roman"/>
          <w:sz w:val="24"/>
          <w:szCs w:val="24"/>
        </w:rPr>
        <w:t xml:space="preserve"> oraz aportu w postaci maszyn, które</w:t>
      </w:r>
      <w:r w:rsidR="004018EB">
        <w:rPr>
          <w:rFonts w:ascii="Times New Roman" w:hAnsi="Times New Roman"/>
          <w:sz w:val="24"/>
          <w:szCs w:val="24"/>
        </w:rPr>
        <w:t xml:space="preserve"> zostały wycenione w umowie spółki na 30 000 zł</w:t>
      </w:r>
      <w:r>
        <w:rPr>
          <w:rFonts w:ascii="Times New Roman" w:hAnsi="Times New Roman"/>
          <w:sz w:val="24"/>
          <w:szCs w:val="24"/>
        </w:rPr>
        <w:t>.</w:t>
      </w:r>
      <w:r w:rsidR="004018EB">
        <w:rPr>
          <w:rFonts w:ascii="Times New Roman" w:hAnsi="Times New Roman"/>
          <w:sz w:val="24"/>
          <w:szCs w:val="24"/>
        </w:rPr>
        <w:t xml:space="preserve"> Wkład pieniężny został wpłacony</w:t>
      </w:r>
      <w:r>
        <w:rPr>
          <w:rFonts w:ascii="Times New Roman" w:hAnsi="Times New Roman"/>
          <w:sz w:val="24"/>
          <w:szCs w:val="24"/>
        </w:rPr>
        <w:t>. Następnie zawarł ze spółką w organizacji (reprezentowaną przez Iwonę O.) umowę pożyczki, na podstawie której spółka wypłaciła mu tym tytułem kwo</w:t>
      </w:r>
      <w:r w:rsidR="004018EB">
        <w:rPr>
          <w:rFonts w:ascii="Times New Roman" w:hAnsi="Times New Roman"/>
          <w:sz w:val="24"/>
          <w:szCs w:val="24"/>
        </w:rPr>
        <w:t>tę 15 </w:t>
      </w:r>
      <w:r>
        <w:rPr>
          <w:rFonts w:ascii="Times New Roman" w:hAnsi="Times New Roman"/>
          <w:sz w:val="24"/>
          <w:szCs w:val="24"/>
        </w:rPr>
        <w:t>000 zł.</w:t>
      </w:r>
      <w:r w:rsidR="004018EB">
        <w:rPr>
          <w:rFonts w:ascii="Times New Roman" w:hAnsi="Times New Roman"/>
          <w:sz w:val="24"/>
          <w:szCs w:val="24"/>
        </w:rPr>
        <w:t xml:space="preserve"> Ponadto okazało się, że wniesione maszyny miały usterki, których usunięcie kosztowało spółkę 10 000 zł. Spó</w:t>
      </w:r>
      <w:r w:rsidR="008015C1">
        <w:rPr>
          <w:rFonts w:ascii="Times New Roman" w:hAnsi="Times New Roman"/>
          <w:sz w:val="24"/>
          <w:szCs w:val="24"/>
        </w:rPr>
        <w:t xml:space="preserve">łka wystąpiła wobec Tomasza G. </w:t>
      </w:r>
      <w:r w:rsidR="004018EB">
        <w:rPr>
          <w:rFonts w:ascii="Times New Roman" w:hAnsi="Times New Roman"/>
          <w:sz w:val="24"/>
          <w:szCs w:val="24"/>
        </w:rPr>
        <w:t xml:space="preserve">o zwrot tej kwoty w marcu 2014 r., ale </w:t>
      </w:r>
      <w:r w:rsidR="008015C1">
        <w:rPr>
          <w:rFonts w:ascii="Times New Roman" w:hAnsi="Times New Roman"/>
          <w:sz w:val="24"/>
          <w:szCs w:val="24"/>
        </w:rPr>
        <w:t>ten odmówił jej uiszczenia powołując się na trzyletni termin przedawnienia dla roszczeń z tytułu prowadzenia działalności gospodarczej (art. 118 k.c.).</w:t>
      </w:r>
    </w:p>
    <w:p w14:paraId="12D16C11" w14:textId="77777777"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 xml:space="preserve">Jeszcze przed zgłoszeniem spółki do rejestru odbyło się zgromadzenie wspólników, na której podjęto większością dwóch trzecich głosów uchwałę o zmianie umowy spółki, polegającej na </w:t>
      </w:r>
      <w:r>
        <w:rPr>
          <w:rFonts w:ascii="Times New Roman" w:hAnsi="Times New Roman"/>
          <w:sz w:val="24"/>
          <w:szCs w:val="24"/>
        </w:rPr>
        <w:lastRenderedPageBreak/>
        <w:t xml:space="preserve">zmianie firmy spółki z „Zorza” na „Tęcza”. Przeciwko uchwale głosował jedynie Tomasz G. Na podstawie tej uchwały notariusz dokonał odpowiedniej zmiany umowy spółki. </w:t>
      </w:r>
    </w:p>
    <w:p w14:paraId="072B743A" w14:textId="10A8D41E"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W dniu 10.11.</w:t>
      </w:r>
      <w:r w:rsidR="002C2F22">
        <w:rPr>
          <w:rFonts w:ascii="Times New Roman" w:hAnsi="Times New Roman"/>
          <w:sz w:val="24"/>
          <w:szCs w:val="24"/>
        </w:rPr>
        <w:t>2023</w:t>
      </w:r>
      <w:r w:rsidR="002C2F22">
        <w:rPr>
          <w:rFonts w:ascii="Times New Roman" w:hAnsi="Times New Roman"/>
          <w:sz w:val="24"/>
          <w:szCs w:val="24"/>
        </w:rPr>
        <w:t xml:space="preserve"> </w:t>
      </w:r>
      <w:r>
        <w:rPr>
          <w:rFonts w:ascii="Times New Roman" w:hAnsi="Times New Roman"/>
          <w:sz w:val="24"/>
          <w:szCs w:val="24"/>
        </w:rPr>
        <w:t xml:space="preserve">r. wszyscy członkowie zarządu zgłosili spółkę do rejestru, składając oświadczenie, że wkłady na pokrycie kapitału zakładowego zostały przez wszystkich wspólników w całości wniesione (art. 167 § 1 pkt 3 </w:t>
      </w:r>
      <w:proofErr w:type="spellStart"/>
      <w:r>
        <w:rPr>
          <w:rFonts w:ascii="Times New Roman" w:hAnsi="Times New Roman"/>
          <w:sz w:val="24"/>
          <w:szCs w:val="24"/>
        </w:rPr>
        <w:t>k.s.h</w:t>
      </w:r>
      <w:proofErr w:type="spellEnd"/>
      <w:r>
        <w:rPr>
          <w:rFonts w:ascii="Times New Roman" w:hAnsi="Times New Roman"/>
          <w:sz w:val="24"/>
          <w:szCs w:val="24"/>
        </w:rPr>
        <w:t xml:space="preserve">.). </w:t>
      </w:r>
    </w:p>
    <w:p w14:paraId="2916982C" w14:textId="77777777"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 xml:space="preserve">Jeszcze przed zarejestrowaniem spółki Marek T., działając w imieniu spółki w organizacji, zatrudnił w spółce dwóch pracowników na podstawie umowy o pracę. </w:t>
      </w:r>
    </w:p>
    <w:p w14:paraId="62D88991" w14:textId="2C28FCCB"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Spółkę zarejestrowano w dniu 9.12.</w:t>
      </w:r>
      <w:r w:rsidR="002C2F22" w:rsidRPr="002C2F22">
        <w:rPr>
          <w:rFonts w:ascii="Times New Roman" w:hAnsi="Times New Roman"/>
          <w:sz w:val="24"/>
          <w:szCs w:val="24"/>
        </w:rPr>
        <w:t xml:space="preserve"> </w:t>
      </w:r>
      <w:r w:rsidR="002C2F22">
        <w:rPr>
          <w:rFonts w:ascii="Times New Roman" w:hAnsi="Times New Roman"/>
          <w:sz w:val="24"/>
          <w:szCs w:val="24"/>
        </w:rPr>
        <w:t>2023</w:t>
      </w:r>
      <w:r>
        <w:rPr>
          <w:rFonts w:ascii="Times New Roman" w:hAnsi="Times New Roman"/>
          <w:sz w:val="24"/>
          <w:szCs w:val="24"/>
        </w:rPr>
        <w:t xml:space="preserve"> r.</w:t>
      </w:r>
    </w:p>
    <w:p w14:paraId="28225D00" w14:textId="6DB5528D"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W dniu 20.12.</w:t>
      </w:r>
      <w:r w:rsidR="002C2F22" w:rsidRPr="002C2F22">
        <w:rPr>
          <w:rFonts w:ascii="Times New Roman" w:hAnsi="Times New Roman"/>
          <w:sz w:val="24"/>
          <w:szCs w:val="24"/>
        </w:rPr>
        <w:t xml:space="preserve"> </w:t>
      </w:r>
      <w:r w:rsidR="002C2F22">
        <w:rPr>
          <w:rFonts w:ascii="Times New Roman" w:hAnsi="Times New Roman"/>
          <w:sz w:val="24"/>
          <w:szCs w:val="24"/>
        </w:rPr>
        <w:t>2023</w:t>
      </w:r>
      <w:r>
        <w:rPr>
          <w:rFonts w:ascii="Times New Roman" w:hAnsi="Times New Roman"/>
          <w:sz w:val="24"/>
          <w:szCs w:val="24"/>
        </w:rPr>
        <w:t xml:space="preserve">r. Alojzy P, wierzyciel Marka T., wszczął egzekucję z prawa użytkowania wieczystego nieruchomości, która stanowiło jego wkład do spółki. Alojzy P. podnosi, iż prawo użytkowania wieczystego nieruchomości nie przeszło na spółkę, ponieważ nie doszło do zawarcia notarialnej umowy o skutku rozporządzającym między spółką a Markiem T. w celu wykonania jego zobowiązania do wniesienia wkładu, wynikającego z umowy spółki. </w:t>
      </w:r>
    </w:p>
    <w:p w14:paraId="49569893" w14:textId="77777777"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 xml:space="preserve">Oceń stan prawny. </w:t>
      </w:r>
    </w:p>
    <w:p w14:paraId="1A28157F" w14:textId="77777777" w:rsidR="003B2F89" w:rsidRDefault="003B2F89" w:rsidP="003B2F89">
      <w:pPr>
        <w:spacing w:before="80" w:after="80"/>
        <w:jc w:val="both"/>
        <w:rPr>
          <w:rFonts w:ascii="Times New Roman" w:hAnsi="Times New Roman"/>
          <w:sz w:val="24"/>
          <w:szCs w:val="24"/>
        </w:rPr>
      </w:pPr>
    </w:p>
    <w:p w14:paraId="0ECD77AA" w14:textId="77777777" w:rsidR="00F911D3" w:rsidRPr="00AE57BB" w:rsidRDefault="00F911D3" w:rsidP="00F911D3">
      <w:pPr>
        <w:spacing w:before="80" w:after="80"/>
        <w:jc w:val="both"/>
        <w:rPr>
          <w:rFonts w:ascii="Times New Roman" w:hAnsi="Times New Roman"/>
          <w:b/>
          <w:i/>
          <w:sz w:val="24"/>
          <w:szCs w:val="24"/>
        </w:rPr>
      </w:pPr>
      <w:r w:rsidRPr="00AE57BB">
        <w:rPr>
          <w:rFonts w:ascii="Times New Roman" w:hAnsi="Times New Roman"/>
          <w:b/>
          <w:i/>
          <w:sz w:val="24"/>
          <w:szCs w:val="24"/>
        </w:rPr>
        <w:t>Zob.</w:t>
      </w:r>
      <w:r>
        <w:rPr>
          <w:rFonts w:ascii="Times New Roman" w:hAnsi="Times New Roman"/>
          <w:b/>
          <w:i/>
          <w:sz w:val="24"/>
          <w:szCs w:val="24"/>
        </w:rPr>
        <w:t xml:space="preserve"> orzeczenia</w:t>
      </w:r>
      <w:r w:rsidRPr="00AE57BB">
        <w:rPr>
          <w:rFonts w:ascii="Times New Roman" w:hAnsi="Times New Roman"/>
          <w:b/>
          <w:i/>
          <w:sz w:val="24"/>
          <w:szCs w:val="24"/>
        </w:rPr>
        <w:t xml:space="preserve">: </w:t>
      </w:r>
    </w:p>
    <w:p w14:paraId="7B747604" w14:textId="77777777" w:rsidR="003B2F89" w:rsidRPr="00D5025A" w:rsidRDefault="003B2F89" w:rsidP="003B2F89">
      <w:pPr>
        <w:spacing w:before="80" w:after="80"/>
        <w:jc w:val="both"/>
        <w:rPr>
          <w:rFonts w:ascii="Times New Roman" w:hAnsi="Times New Roman"/>
          <w:i/>
          <w:sz w:val="24"/>
          <w:szCs w:val="24"/>
        </w:rPr>
      </w:pPr>
      <w:r w:rsidRPr="00D5025A">
        <w:rPr>
          <w:rFonts w:ascii="Times New Roman" w:hAnsi="Times New Roman"/>
          <w:b/>
          <w:i/>
          <w:sz w:val="24"/>
          <w:szCs w:val="24"/>
        </w:rPr>
        <w:t xml:space="preserve">- </w:t>
      </w:r>
      <w:r>
        <w:rPr>
          <w:rFonts w:ascii="Times New Roman" w:hAnsi="Times New Roman"/>
          <w:b/>
          <w:i/>
          <w:sz w:val="24"/>
          <w:szCs w:val="24"/>
        </w:rPr>
        <w:t>p</w:t>
      </w:r>
      <w:r w:rsidRPr="00D5025A">
        <w:rPr>
          <w:rFonts w:ascii="Times New Roman" w:hAnsi="Times New Roman"/>
          <w:b/>
          <w:i/>
          <w:sz w:val="24"/>
          <w:szCs w:val="24"/>
        </w:rPr>
        <w:t xml:space="preserve">ostanowienie SN z 25.2.2009 r., II CSK 489/2008 </w:t>
      </w:r>
      <w:r w:rsidRPr="00D5025A">
        <w:rPr>
          <w:rFonts w:ascii="Times New Roman" w:hAnsi="Times New Roman"/>
          <w:i/>
          <w:sz w:val="24"/>
          <w:szCs w:val="24"/>
        </w:rPr>
        <w:t>(Teza: „Zmiana umowy spółki z ograniczoną odpowiedzialnością w organizacji następuje w drodze umowy zawartej przez wspólników.”)</w:t>
      </w:r>
      <w:r>
        <w:rPr>
          <w:rFonts w:ascii="Times New Roman" w:hAnsi="Times New Roman"/>
          <w:i/>
          <w:sz w:val="24"/>
          <w:szCs w:val="24"/>
        </w:rPr>
        <w:t>,</w:t>
      </w:r>
    </w:p>
    <w:p w14:paraId="3DE07FAC" w14:textId="77777777" w:rsidR="003B2F89" w:rsidRDefault="003B2F89" w:rsidP="003B2F89">
      <w:pPr>
        <w:spacing w:before="80" w:after="80"/>
        <w:jc w:val="both"/>
        <w:rPr>
          <w:rFonts w:ascii="Times New Roman" w:hAnsi="Times New Roman"/>
          <w:sz w:val="24"/>
          <w:szCs w:val="24"/>
        </w:rPr>
      </w:pPr>
      <w:r w:rsidRPr="00D5025A">
        <w:rPr>
          <w:rFonts w:ascii="Times New Roman" w:hAnsi="Times New Roman"/>
          <w:b/>
          <w:sz w:val="24"/>
          <w:szCs w:val="24"/>
        </w:rPr>
        <w:t>-</w:t>
      </w:r>
      <w:r w:rsidRPr="00D5025A">
        <w:rPr>
          <w:rFonts w:ascii="Times New Roman" w:hAnsi="Times New Roman"/>
          <w:i/>
          <w:sz w:val="24"/>
          <w:szCs w:val="24"/>
        </w:rPr>
        <w:t xml:space="preserve"> </w:t>
      </w:r>
      <w:r w:rsidRPr="00D5025A">
        <w:rPr>
          <w:rFonts w:ascii="Times New Roman" w:hAnsi="Times New Roman"/>
          <w:b/>
          <w:i/>
          <w:sz w:val="24"/>
          <w:szCs w:val="24"/>
        </w:rPr>
        <w:t xml:space="preserve">wyrok SA w Warszawie z 21.12.2006 r., I </w:t>
      </w:r>
      <w:proofErr w:type="spellStart"/>
      <w:r w:rsidRPr="00D5025A">
        <w:rPr>
          <w:rFonts w:ascii="Times New Roman" w:hAnsi="Times New Roman"/>
          <w:b/>
          <w:i/>
          <w:sz w:val="24"/>
          <w:szCs w:val="24"/>
        </w:rPr>
        <w:t>ACa</w:t>
      </w:r>
      <w:proofErr w:type="spellEnd"/>
      <w:r w:rsidRPr="00D5025A">
        <w:rPr>
          <w:rFonts w:ascii="Times New Roman" w:hAnsi="Times New Roman"/>
          <w:b/>
          <w:i/>
          <w:sz w:val="24"/>
          <w:szCs w:val="24"/>
        </w:rPr>
        <w:t xml:space="preserve"> 139/2006</w:t>
      </w:r>
      <w:r w:rsidRPr="00D5025A">
        <w:rPr>
          <w:rFonts w:ascii="Times New Roman" w:hAnsi="Times New Roman"/>
          <w:i/>
          <w:sz w:val="24"/>
          <w:szCs w:val="24"/>
        </w:rPr>
        <w:t xml:space="preserve"> (Tezy: „1. Zgodnie z art. 2 </w:t>
      </w:r>
      <w:proofErr w:type="spellStart"/>
      <w:r w:rsidRPr="00D5025A">
        <w:rPr>
          <w:rFonts w:ascii="Times New Roman" w:hAnsi="Times New Roman"/>
          <w:i/>
          <w:sz w:val="24"/>
          <w:szCs w:val="24"/>
        </w:rPr>
        <w:t>ksh</w:t>
      </w:r>
      <w:proofErr w:type="spellEnd"/>
      <w:r w:rsidRPr="00D5025A">
        <w:rPr>
          <w:rFonts w:ascii="Times New Roman" w:hAnsi="Times New Roman"/>
          <w:i/>
          <w:sz w:val="24"/>
          <w:szCs w:val="24"/>
        </w:rPr>
        <w:t xml:space="preserve"> w zw. z art. 155 § 1 </w:t>
      </w:r>
      <w:proofErr w:type="spellStart"/>
      <w:r w:rsidRPr="00D5025A">
        <w:rPr>
          <w:rFonts w:ascii="Times New Roman" w:hAnsi="Times New Roman"/>
          <w:i/>
          <w:sz w:val="24"/>
          <w:szCs w:val="24"/>
        </w:rPr>
        <w:t>kc</w:t>
      </w:r>
      <w:proofErr w:type="spellEnd"/>
      <w:r w:rsidRPr="00D5025A">
        <w:rPr>
          <w:rFonts w:ascii="Times New Roman" w:hAnsi="Times New Roman"/>
          <w:i/>
          <w:sz w:val="24"/>
          <w:szCs w:val="24"/>
        </w:rPr>
        <w:t xml:space="preserve"> oraz art. 510 </w:t>
      </w:r>
      <w:proofErr w:type="spellStart"/>
      <w:r w:rsidRPr="00D5025A">
        <w:rPr>
          <w:rFonts w:ascii="Times New Roman" w:hAnsi="Times New Roman"/>
          <w:i/>
          <w:sz w:val="24"/>
          <w:szCs w:val="24"/>
        </w:rPr>
        <w:t>kc</w:t>
      </w:r>
      <w:proofErr w:type="spellEnd"/>
      <w:r w:rsidRPr="00D5025A">
        <w:rPr>
          <w:rFonts w:ascii="Times New Roman" w:hAnsi="Times New Roman"/>
          <w:i/>
          <w:sz w:val="24"/>
          <w:szCs w:val="24"/>
        </w:rPr>
        <w:t xml:space="preserve"> w chwili zawarcia umowy spółki na powstałą na skutek tej czynności prawnej spółkę w organizacji (art. 161 § 1 </w:t>
      </w:r>
      <w:proofErr w:type="spellStart"/>
      <w:r w:rsidRPr="00D5025A">
        <w:rPr>
          <w:rFonts w:ascii="Times New Roman" w:hAnsi="Times New Roman"/>
          <w:i/>
          <w:sz w:val="24"/>
          <w:szCs w:val="24"/>
        </w:rPr>
        <w:t>ksh</w:t>
      </w:r>
      <w:proofErr w:type="spellEnd"/>
      <w:r w:rsidRPr="00D5025A">
        <w:rPr>
          <w:rFonts w:ascii="Times New Roman" w:hAnsi="Times New Roman"/>
          <w:i/>
          <w:sz w:val="24"/>
          <w:szCs w:val="24"/>
        </w:rPr>
        <w:t>) przechodzą wkłady, o których mowa w tych przepisach, tj. rzeczy oznaczone co do tożsamości oraz wierzytelności. Przejście wierzytelności na nowo tworzoną spółkę nie jest uzależnione od podpisania dodatkowej umowy po zarejestrowaniu spółki.</w:t>
      </w:r>
      <w:r w:rsidRPr="00D5025A">
        <w:rPr>
          <w:rFonts w:ascii="Times New Roman" w:hAnsi="Times New Roman"/>
          <w:i/>
          <w:sz w:val="24"/>
          <w:szCs w:val="24"/>
        </w:rPr>
        <w:tab/>
        <w:t xml:space="preserve">2. Spółka w organizacji może we własnym imieniu nabywać prawa, w tym własność nieruchomości i inne prawa rzeczowe (art. 11 </w:t>
      </w:r>
      <w:proofErr w:type="spellStart"/>
      <w:r w:rsidRPr="00D5025A">
        <w:rPr>
          <w:rFonts w:ascii="Times New Roman" w:hAnsi="Times New Roman"/>
          <w:i/>
          <w:sz w:val="24"/>
          <w:szCs w:val="24"/>
        </w:rPr>
        <w:t>ksh</w:t>
      </w:r>
      <w:proofErr w:type="spellEnd"/>
      <w:r w:rsidRPr="00D5025A">
        <w:rPr>
          <w:rFonts w:ascii="Times New Roman" w:hAnsi="Times New Roman"/>
          <w:i/>
          <w:sz w:val="24"/>
          <w:szCs w:val="24"/>
        </w:rPr>
        <w:t>). Nie ma racji Sąd I instancji, podnosząc, iż do skutecznego wniesienia aportu wymagane jest zawarcie między wspólnikiem a spółką (już po jej zarejestrowaniu) dalszej umowy mającej już skutek rzeczowy.</w:t>
      </w:r>
      <w:r>
        <w:rPr>
          <w:rFonts w:ascii="Times New Roman" w:hAnsi="Times New Roman"/>
          <w:i/>
          <w:sz w:val="24"/>
          <w:szCs w:val="24"/>
        </w:rPr>
        <w:t>”)</w:t>
      </w:r>
    </w:p>
    <w:p w14:paraId="688ECC03" w14:textId="77777777" w:rsidR="003B2F89" w:rsidRDefault="003B2F89" w:rsidP="003B2F89">
      <w:pPr>
        <w:spacing w:before="80" w:after="80"/>
        <w:jc w:val="both"/>
        <w:rPr>
          <w:rFonts w:ascii="Times New Roman" w:hAnsi="Times New Roman"/>
          <w:sz w:val="24"/>
          <w:szCs w:val="24"/>
        </w:rPr>
      </w:pPr>
      <w:r>
        <w:rPr>
          <w:rFonts w:ascii="Times New Roman" w:hAnsi="Times New Roman"/>
          <w:b/>
          <w:i/>
          <w:sz w:val="24"/>
          <w:szCs w:val="24"/>
        </w:rPr>
        <w:t>- u</w:t>
      </w:r>
      <w:r w:rsidRPr="007E4D4F">
        <w:rPr>
          <w:rFonts w:ascii="Times New Roman" w:hAnsi="Times New Roman"/>
          <w:b/>
          <w:i/>
          <w:sz w:val="24"/>
          <w:szCs w:val="24"/>
        </w:rPr>
        <w:t>chwała SN 29.10. 2009 r., III CZP 61/09:</w:t>
      </w:r>
      <w:r w:rsidRPr="007E4D4F">
        <w:rPr>
          <w:rFonts w:ascii="Times New Roman" w:hAnsi="Times New Roman"/>
          <w:i/>
          <w:sz w:val="24"/>
          <w:szCs w:val="24"/>
        </w:rPr>
        <w:t xml:space="preserve"> Bieg dziesięcioletniego terminu przedawnienia roszczenia, o którym mowa w art. 14 § 2 </w:t>
      </w:r>
      <w:proofErr w:type="spellStart"/>
      <w:r w:rsidRPr="007E4D4F">
        <w:rPr>
          <w:rFonts w:ascii="Times New Roman" w:hAnsi="Times New Roman"/>
          <w:i/>
          <w:sz w:val="24"/>
          <w:szCs w:val="24"/>
        </w:rPr>
        <w:t>k.s.h</w:t>
      </w:r>
      <w:proofErr w:type="spellEnd"/>
      <w:r w:rsidRPr="007E4D4F">
        <w:rPr>
          <w:rFonts w:ascii="Times New Roman" w:hAnsi="Times New Roman"/>
          <w:i/>
          <w:sz w:val="24"/>
          <w:szCs w:val="24"/>
        </w:rPr>
        <w:t>., rozpoczyna się od dnia wniesienia do spółki z ograniczoną odpowiedzialnością wkładu niepieniężnego na pokrycie udziałów w kapitale zakładowym tej spółki.</w:t>
      </w:r>
    </w:p>
    <w:p w14:paraId="493589D2" w14:textId="77777777" w:rsidR="003B2F89" w:rsidRDefault="003B2F89" w:rsidP="003B2F89">
      <w:pPr>
        <w:spacing w:before="80" w:after="80"/>
        <w:jc w:val="both"/>
        <w:rPr>
          <w:rFonts w:ascii="Times New Roman" w:hAnsi="Times New Roman"/>
          <w:sz w:val="24"/>
          <w:szCs w:val="24"/>
        </w:rPr>
      </w:pPr>
    </w:p>
    <w:p w14:paraId="25F52B5C" w14:textId="77777777" w:rsidR="003B2F89" w:rsidRPr="00A17223" w:rsidRDefault="003B2F89" w:rsidP="003B2F89">
      <w:pPr>
        <w:spacing w:before="80" w:after="80"/>
        <w:jc w:val="both"/>
        <w:rPr>
          <w:rFonts w:ascii="Times New Roman" w:hAnsi="Times New Roman"/>
          <w:b/>
          <w:sz w:val="24"/>
          <w:szCs w:val="24"/>
        </w:rPr>
      </w:pPr>
      <w:r w:rsidRPr="00A17223">
        <w:rPr>
          <w:rFonts w:ascii="Times New Roman" w:hAnsi="Times New Roman"/>
          <w:b/>
          <w:sz w:val="24"/>
          <w:szCs w:val="24"/>
        </w:rPr>
        <w:t xml:space="preserve">Kazus 2 </w:t>
      </w:r>
    </w:p>
    <w:p w14:paraId="498D3BBE" w14:textId="77777777" w:rsidR="006C683F" w:rsidRDefault="00BA3FC3" w:rsidP="003B2F89">
      <w:pPr>
        <w:spacing w:before="80" w:after="80"/>
        <w:jc w:val="both"/>
        <w:rPr>
          <w:rFonts w:ascii="Times New Roman" w:hAnsi="Times New Roman"/>
          <w:sz w:val="24"/>
          <w:szCs w:val="24"/>
        </w:rPr>
      </w:pPr>
      <w:r>
        <w:rPr>
          <w:rFonts w:ascii="Times New Roman" w:hAnsi="Times New Roman"/>
          <w:sz w:val="24"/>
          <w:szCs w:val="24"/>
        </w:rPr>
        <w:t>W ABC spółce z o.o. wspólnikiem większościowym (70% udziałów) jest Andrzej K., będący zarazem prezesem zarządu</w:t>
      </w:r>
      <w:r w:rsidR="008B13DE">
        <w:rPr>
          <w:rFonts w:ascii="Times New Roman" w:hAnsi="Times New Roman"/>
          <w:sz w:val="24"/>
          <w:szCs w:val="24"/>
        </w:rPr>
        <w:t xml:space="preserve"> spółki</w:t>
      </w:r>
      <w:r>
        <w:rPr>
          <w:rFonts w:ascii="Times New Roman" w:hAnsi="Times New Roman"/>
          <w:sz w:val="24"/>
          <w:szCs w:val="24"/>
        </w:rPr>
        <w:t xml:space="preserve">. </w:t>
      </w:r>
      <w:r w:rsidR="008B13DE">
        <w:rPr>
          <w:rFonts w:ascii="Times New Roman" w:hAnsi="Times New Roman"/>
          <w:sz w:val="24"/>
          <w:szCs w:val="24"/>
        </w:rPr>
        <w:t xml:space="preserve">Andrzej K. objął udziały samodzielnie i wyłącznie on figuruje w księdze udziałów jako uprawniony wspólnik. </w:t>
      </w:r>
      <w:r>
        <w:rPr>
          <w:rFonts w:ascii="Times New Roman" w:hAnsi="Times New Roman"/>
          <w:sz w:val="24"/>
          <w:szCs w:val="24"/>
        </w:rPr>
        <w:t>Jego żona, Janina, jest przewodniczącym rady nadzorczej</w:t>
      </w:r>
      <w:r w:rsidR="006C683F">
        <w:rPr>
          <w:rFonts w:ascii="Times New Roman" w:hAnsi="Times New Roman"/>
          <w:sz w:val="24"/>
          <w:szCs w:val="24"/>
        </w:rPr>
        <w:t xml:space="preserve">, a córka Andrzeja i Janiny, Marta – wiceprezesem zarządu i wspólnikiem mniejszościowym (20% udziałów). </w:t>
      </w:r>
      <w:r w:rsidR="00217F19">
        <w:rPr>
          <w:rFonts w:ascii="Times New Roman" w:hAnsi="Times New Roman"/>
          <w:sz w:val="24"/>
          <w:szCs w:val="24"/>
        </w:rPr>
        <w:t xml:space="preserve">Pozostałe 10% należy do jej brata, Kamila. </w:t>
      </w:r>
      <w:r w:rsidR="006C683F">
        <w:rPr>
          <w:rFonts w:ascii="Times New Roman" w:hAnsi="Times New Roman"/>
          <w:sz w:val="24"/>
          <w:szCs w:val="24"/>
        </w:rPr>
        <w:lastRenderedPageBreak/>
        <w:t>Małżeństwo Andrzeja i Janin</w:t>
      </w:r>
      <w:r w:rsidR="008B13DE">
        <w:rPr>
          <w:rFonts w:ascii="Times New Roman" w:hAnsi="Times New Roman"/>
          <w:sz w:val="24"/>
          <w:szCs w:val="24"/>
        </w:rPr>
        <w:t>y</w:t>
      </w:r>
      <w:r w:rsidR="006C683F">
        <w:rPr>
          <w:rFonts w:ascii="Times New Roman" w:hAnsi="Times New Roman"/>
          <w:sz w:val="24"/>
          <w:szCs w:val="24"/>
        </w:rPr>
        <w:t xml:space="preserve"> znajduje się w głębokim kryzysie. </w:t>
      </w:r>
      <w:r w:rsidR="008B13DE">
        <w:rPr>
          <w:rFonts w:ascii="Times New Roman" w:hAnsi="Times New Roman"/>
          <w:sz w:val="24"/>
          <w:szCs w:val="24"/>
        </w:rPr>
        <w:t>Janina korzystając z nieobecności męża w Polsce, przekonała córkę Martę, aby wpisała ją do księgi udziałów jako współuprawnionego wspólnika z</w:t>
      </w:r>
      <w:r w:rsidR="000542C0">
        <w:rPr>
          <w:rFonts w:ascii="Times New Roman" w:hAnsi="Times New Roman"/>
          <w:sz w:val="24"/>
          <w:szCs w:val="24"/>
        </w:rPr>
        <w:t xml:space="preserve"> 70% udziałów. Jako uzasadnienie Janina wskazała na okoliczność, że udziały te wchodzą do wspólności małżeńskiej, gdyż zostały objęte przez Andrzeja </w:t>
      </w:r>
      <w:r w:rsidR="00F05A67">
        <w:rPr>
          <w:rFonts w:ascii="Times New Roman" w:hAnsi="Times New Roman"/>
          <w:sz w:val="24"/>
          <w:szCs w:val="24"/>
        </w:rPr>
        <w:t>w trakcie trwania małżeństwa</w:t>
      </w:r>
      <w:r w:rsidR="002348A4">
        <w:rPr>
          <w:rFonts w:ascii="Times New Roman" w:hAnsi="Times New Roman"/>
          <w:sz w:val="24"/>
          <w:szCs w:val="24"/>
        </w:rPr>
        <w:t>, za środki pieniężne pochodzące z majątku wspólnego</w:t>
      </w:r>
      <w:r w:rsidR="000542C0">
        <w:rPr>
          <w:rFonts w:ascii="Times New Roman" w:hAnsi="Times New Roman"/>
          <w:sz w:val="24"/>
          <w:szCs w:val="24"/>
        </w:rPr>
        <w:t>. Wpis do księgi udziałów m</w:t>
      </w:r>
      <w:r w:rsidR="00217F19">
        <w:rPr>
          <w:rFonts w:ascii="Times New Roman" w:hAnsi="Times New Roman"/>
          <w:sz w:val="24"/>
          <w:szCs w:val="24"/>
        </w:rPr>
        <w:t>iał</w:t>
      </w:r>
      <w:r w:rsidR="000542C0">
        <w:rPr>
          <w:rFonts w:ascii="Times New Roman" w:hAnsi="Times New Roman"/>
          <w:sz w:val="24"/>
          <w:szCs w:val="24"/>
        </w:rPr>
        <w:t xml:space="preserve"> więc </w:t>
      </w:r>
      <w:r w:rsidR="00217F19">
        <w:rPr>
          <w:rFonts w:ascii="Times New Roman" w:hAnsi="Times New Roman"/>
          <w:sz w:val="24"/>
          <w:szCs w:val="24"/>
        </w:rPr>
        <w:t xml:space="preserve">jej zdaniem </w:t>
      </w:r>
      <w:r w:rsidR="000542C0">
        <w:rPr>
          <w:rFonts w:ascii="Times New Roman" w:hAnsi="Times New Roman"/>
          <w:sz w:val="24"/>
          <w:szCs w:val="24"/>
        </w:rPr>
        <w:t>służyć „</w:t>
      </w:r>
      <w:r w:rsidR="00217F19">
        <w:rPr>
          <w:rFonts w:ascii="Times New Roman" w:hAnsi="Times New Roman"/>
          <w:sz w:val="24"/>
          <w:szCs w:val="24"/>
        </w:rPr>
        <w:t xml:space="preserve">jedynie </w:t>
      </w:r>
      <w:r w:rsidR="000542C0">
        <w:rPr>
          <w:rFonts w:ascii="Times New Roman" w:hAnsi="Times New Roman"/>
          <w:sz w:val="24"/>
          <w:szCs w:val="24"/>
        </w:rPr>
        <w:t xml:space="preserve">uzgodnieniu stanu majątkowo-małżeńskiego i stanu korporacyjnego”. </w:t>
      </w:r>
      <w:r w:rsidR="007A67AB">
        <w:rPr>
          <w:rFonts w:ascii="Times New Roman" w:hAnsi="Times New Roman"/>
          <w:sz w:val="24"/>
          <w:szCs w:val="24"/>
        </w:rPr>
        <w:t>Ponadto Janina wskazała, że umowa spółki nie zawiera postanowienia, o którym mowa w art. 183</w:t>
      </w:r>
      <w:r w:rsidR="00500366">
        <w:rPr>
          <w:rFonts w:ascii="Times New Roman" w:hAnsi="Times New Roman"/>
          <w:sz w:val="24"/>
          <w:szCs w:val="24"/>
          <w:vertAlign w:val="superscript"/>
        </w:rPr>
        <w:t>1</w:t>
      </w:r>
      <w:r w:rsidR="00500366">
        <w:rPr>
          <w:rFonts w:ascii="Times New Roman" w:hAnsi="Times New Roman"/>
          <w:sz w:val="24"/>
          <w:szCs w:val="24"/>
        </w:rPr>
        <w:t xml:space="preserve"> </w:t>
      </w:r>
      <w:proofErr w:type="spellStart"/>
      <w:r w:rsidR="00500366">
        <w:rPr>
          <w:rFonts w:ascii="Times New Roman" w:hAnsi="Times New Roman"/>
          <w:sz w:val="24"/>
          <w:szCs w:val="24"/>
        </w:rPr>
        <w:t>k.s.h</w:t>
      </w:r>
      <w:proofErr w:type="spellEnd"/>
      <w:r w:rsidR="00500366">
        <w:rPr>
          <w:rFonts w:ascii="Times New Roman" w:hAnsi="Times New Roman"/>
          <w:sz w:val="24"/>
          <w:szCs w:val="24"/>
        </w:rPr>
        <w:t>.</w:t>
      </w:r>
      <w:r w:rsidR="007A67AB">
        <w:rPr>
          <w:rFonts w:ascii="Times New Roman" w:hAnsi="Times New Roman"/>
          <w:sz w:val="24"/>
          <w:szCs w:val="24"/>
        </w:rPr>
        <w:t xml:space="preserve"> </w:t>
      </w:r>
      <w:r w:rsidR="00217F19">
        <w:rPr>
          <w:rFonts w:ascii="Times New Roman" w:hAnsi="Times New Roman"/>
          <w:sz w:val="24"/>
          <w:szCs w:val="24"/>
        </w:rPr>
        <w:t xml:space="preserve">Na zwołanym naprędce zgromadzeniu wspólników, o którym Andrzej nie był powiadomiony, podjęto uchwałę o odwołaniu </w:t>
      </w:r>
      <w:r w:rsidR="00022F23">
        <w:rPr>
          <w:rFonts w:ascii="Times New Roman" w:hAnsi="Times New Roman"/>
          <w:sz w:val="24"/>
          <w:szCs w:val="24"/>
        </w:rPr>
        <w:t xml:space="preserve">go z funkcji prezesa. </w:t>
      </w:r>
      <w:r w:rsidR="00667794">
        <w:rPr>
          <w:rFonts w:ascii="Times New Roman" w:hAnsi="Times New Roman"/>
          <w:sz w:val="24"/>
          <w:szCs w:val="24"/>
        </w:rPr>
        <w:t xml:space="preserve">Andrzej K. po powrocie do kraju, </w:t>
      </w:r>
      <w:r w:rsidR="00CC4CA4">
        <w:rPr>
          <w:rFonts w:ascii="Times New Roman" w:hAnsi="Times New Roman"/>
          <w:sz w:val="24"/>
          <w:szCs w:val="24"/>
        </w:rPr>
        <w:t xml:space="preserve">wykreślił żonę z księgi udziałów, następnie zwołał zgromadzenie wspólników, na którym obecny był on i syn Kamil. Zgromadzenie to podjęło uchwałę o </w:t>
      </w:r>
      <w:r w:rsidR="00066103">
        <w:rPr>
          <w:rFonts w:ascii="Times New Roman" w:hAnsi="Times New Roman"/>
          <w:sz w:val="24"/>
          <w:szCs w:val="24"/>
        </w:rPr>
        <w:t>odwołaniu Janiny z rady nadzorczej</w:t>
      </w:r>
      <w:r w:rsidR="00500366">
        <w:rPr>
          <w:rFonts w:ascii="Times New Roman" w:hAnsi="Times New Roman"/>
          <w:sz w:val="24"/>
          <w:szCs w:val="24"/>
        </w:rPr>
        <w:t xml:space="preserve"> oraz o odwołaniu Marty K. z zarządu</w:t>
      </w:r>
      <w:r w:rsidR="00066103">
        <w:rPr>
          <w:rFonts w:ascii="Times New Roman" w:hAnsi="Times New Roman"/>
          <w:sz w:val="24"/>
          <w:szCs w:val="24"/>
        </w:rPr>
        <w:t xml:space="preserve">. Ponadto </w:t>
      </w:r>
      <w:r w:rsidR="00500366">
        <w:rPr>
          <w:rFonts w:ascii="Times New Roman" w:hAnsi="Times New Roman"/>
          <w:sz w:val="24"/>
          <w:szCs w:val="24"/>
        </w:rPr>
        <w:t xml:space="preserve">Andrzej K. wystąpił </w:t>
      </w:r>
      <w:r w:rsidR="00066103">
        <w:rPr>
          <w:rFonts w:ascii="Times New Roman" w:hAnsi="Times New Roman"/>
          <w:sz w:val="24"/>
          <w:szCs w:val="24"/>
        </w:rPr>
        <w:t>o wyłączenie Marty</w:t>
      </w:r>
      <w:r w:rsidR="00500366">
        <w:rPr>
          <w:rFonts w:ascii="Times New Roman" w:hAnsi="Times New Roman"/>
          <w:sz w:val="24"/>
          <w:szCs w:val="24"/>
        </w:rPr>
        <w:t xml:space="preserve"> ze spółki wskazując na naruszenie przez nią obowiązku lojalności między wspólnikami i działanie na szkodę </w:t>
      </w:r>
      <w:proofErr w:type="spellStart"/>
      <w:r w:rsidR="00500366">
        <w:rPr>
          <w:rFonts w:ascii="Times New Roman" w:hAnsi="Times New Roman"/>
          <w:sz w:val="24"/>
          <w:szCs w:val="24"/>
        </w:rPr>
        <w:t>spólki</w:t>
      </w:r>
      <w:proofErr w:type="spellEnd"/>
      <w:r w:rsidR="00500366">
        <w:rPr>
          <w:rFonts w:ascii="Times New Roman" w:hAnsi="Times New Roman"/>
          <w:sz w:val="24"/>
          <w:szCs w:val="24"/>
        </w:rPr>
        <w:t xml:space="preserve">. </w:t>
      </w:r>
    </w:p>
    <w:p w14:paraId="4A39C143" w14:textId="77777777" w:rsidR="00BA3FC3" w:rsidRDefault="00BA3FC3" w:rsidP="003B2F89">
      <w:pPr>
        <w:spacing w:before="80" w:after="80"/>
        <w:jc w:val="both"/>
        <w:rPr>
          <w:rFonts w:ascii="Times New Roman" w:hAnsi="Times New Roman"/>
          <w:sz w:val="24"/>
          <w:szCs w:val="24"/>
        </w:rPr>
      </w:pPr>
    </w:p>
    <w:p w14:paraId="24B80DFE" w14:textId="77777777" w:rsidR="00AD2D4E" w:rsidRPr="00AE57BB" w:rsidRDefault="00AD2D4E" w:rsidP="00AD2D4E">
      <w:pPr>
        <w:spacing w:before="80" w:after="80"/>
        <w:jc w:val="both"/>
        <w:rPr>
          <w:rFonts w:ascii="Times New Roman" w:hAnsi="Times New Roman"/>
          <w:b/>
          <w:i/>
          <w:sz w:val="24"/>
          <w:szCs w:val="24"/>
        </w:rPr>
      </w:pPr>
      <w:r w:rsidRPr="00AE57BB">
        <w:rPr>
          <w:rFonts w:ascii="Times New Roman" w:hAnsi="Times New Roman"/>
          <w:b/>
          <w:i/>
          <w:sz w:val="24"/>
          <w:szCs w:val="24"/>
        </w:rPr>
        <w:t>Zob.</w:t>
      </w:r>
      <w:r>
        <w:rPr>
          <w:rFonts w:ascii="Times New Roman" w:hAnsi="Times New Roman"/>
          <w:b/>
          <w:i/>
          <w:sz w:val="24"/>
          <w:szCs w:val="24"/>
        </w:rPr>
        <w:t xml:space="preserve"> orzeczenia</w:t>
      </w:r>
      <w:r w:rsidRPr="00AE57BB">
        <w:rPr>
          <w:rFonts w:ascii="Times New Roman" w:hAnsi="Times New Roman"/>
          <w:b/>
          <w:i/>
          <w:sz w:val="24"/>
          <w:szCs w:val="24"/>
        </w:rPr>
        <w:t xml:space="preserve">: </w:t>
      </w:r>
    </w:p>
    <w:p w14:paraId="43FD9D45" w14:textId="77777777" w:rsidR="00AD2D4E" w:rsidRPr="00AD2D4E" w:rsidRDefault="00AD2D4E" w:rsidP="003B2F89">
      <w:pPr>
        <w:spacing w:before="80" w:after="80"/>
        <w:jc w:val="both"/>
        <w:rPr>
          <w:rFonts w:ascii="Times New Roman" w:hAnsi="Times New Roman"/>
          <w:i/>
          <w:sz w:val="24"/>
          <w:szCs w:val="24"/>
        </w:rPr>
      </w:pPr>
      <w:r w:rsidRPr="00AD2D4E">
        <w:rPr>
          <w:rFonts w:ascii="Times New Roman" w:hAnsi="Times New Roman"/>
          <w:b/>
          <w:i/>
          <w:sz w:val="24"/>
          <w:szCs w:val="24"/>
        </w:rPr>
        <w:t xml:space="preserve">- wyrok SN z </w:t>
      </w:r>
      <w:r w:rsidR="004B422B">
        <w:rPr>
          <w:rFonts w:ascii="Times New Roman" w:hAnsi="Times New Roman"/>
          <w:b/>
          <w:i/>
          <w:sz w:val="24"/>
          <w:szCs w:val="24"/>
        </w:rPr>
        <w:t>3.12.</w:t>
      </w:r>
      <w:r w:rsidR="004B422B" w:rsidRPr="004B422B">
        <w:rPr>
          <w:rFonts w:ascii="Times New Roman" w:hAnsi="Times New Roman"/>
          <w:b/>
          <w:i/>
          <w:sz w:val="24"/>
          <w:szCs w:val="24"/>
        </w:rPr>
        <w:t>2009 r., II CSK 273/09</w:t>
      </w:r>
      <w:r w:rsidRPr="00AD2D4E">
        <w:rPr>
          <w:rFonts w:ascii="Times New Roman" w:hAnsi="Times New Roman"/>
          <w:i/>
          <w:sz w:val="24"/>
          <w:szCs w:val="24"/>
        </w:rPr>
        <w:t>: „</w:t>
      </w:r>
      <w:r w:rsidR="00520B71" w:rsidRPr="00520B71">
        <w:rPr>
          <w:rFonts w:ascii="Times New Roman" w:hAnsi="Times New Roman"/>
          <w:i/>
          <w:sz w:val="24"/>
          <w:szCs w:val="24"/>
        </w:rPr>
        <w:t xml:space="preserve">Dlatego należy ponownie sięgnąć do aprobowanego w literaturze i orzecznictwie poglądu, do którego nawiązał Sąd Najwyższy w wyroku z dnia 20 maja 1999 r., że gdy czynność prawna została dokonana przez jednego z małżonków, stroną tej czynności jest tylko ten małżonek, który złożył oświadczenie woli kreujące (w przypadku nabycia pochodnego akcji) lub współkształtujące (w przypadku złożenia o objęciu akcji przy zakładaniu spółki lub podwyższeniu kapitału zakładowego) dany stosunek prawny (por. też uchwałę Sądu Najwyższego z dnia 24 września 1970 r., III CZP 55/70, </w:t>
      </w:r>
      <w:proofErr w:type="spellStart"/>
      <w:r w:rsidR="00520B71" w:rsidRPr="00520B71">
        <w:rPr>
          <w:rFonts w:ascii="Times New Roman" w:hAnsi="Times New Roman"/>
          <w:i/>
          <w:sz w:val="24"/>
          <w:szCs w:val="24"/>
        </w:rPr>
        <w:t>OSPiKA</w:t>
      </w:r>
      <w:proofErr w:type="spellEnd"/>
      <w:r w:rsidR="00520B71" w:rsidRPr="00520B71">
        <w:rPr>
          <w:rFonts w:ascii="Times New Roman" w:hAnsi="Times New Roman"/>
          <w:i/>
          <w:sz w:val="24"/>
          <w:szCs w:val="24"/>
        </w:rPr>
        <w:t xml:space="preserve"> 1973/6/120 oraz uchwałę pełnego składu Izby Cywilnej z dnia 28 marca 1979 r., III CZP 15/79, OSNC 1980/4/63). </w:t>
      </w:r>
      <w:r w:rsidR="00520B71" w:rsidRPr="004B422B">
        <w:rPr>
          <w:rFonts w:ascii="Times New Roman" w:hAnsi="Times New Roman"/>
          <w:b/>
          <w:i/>
          <w:sz w:val="24"/>
          <w:szCs w:val="24"/>
        </w:rPr>
        <w:t>Skoro czynności prawne zostały dokonane przez jednego z małżonków w imieniu własnym – tylko ten małżonek pozostaje w stosunku prawnym ze spółką,</w:t>
      </w:r>
      <w:r w:rsidR="00520B71" w:rsidRPr="00520B71">
        <w:rPr>
          <w:rFonts w:ascii="Times New Roman" w:hAnsi="Times New Roman"/>
          <w:i/>
          <w:sz w:val="24"/>
          <w:szCs w:val="24"/>
        </w:rPr>
        <w:t xml:space="preserve"> co w rozpoznawanej sprawie oznaczało, że wspólnikiem spółki „T.” spółki z ograniczoną odpowiedzialnością w związku z objęciem udziałów lub ich nabyciem od osób trzecich był uczestnik W.R. Wspólnikami w spółce z ograniczoną odpowiedzialnością stają się tylko osoby, które objęły – zgodnie z art. 157 § 1 pkt 5, 257 § 3, 258 § 2, 259 </w:t>
      </w:r>
      <w:proofErr w:type="spellStart"/>
      <w:r w:rsidR="00520B71" w:rsidRPr="00520B71">
        <w:rPr>
          <w:rFonts w:ascii="Times New Roman" w:hAnsi="Times New Roman"/>
          <w:i/>
          <w:sz w:val="24"/>
          <w:szCs w:val="24"/>
        </w:rPr>
        <w:t>k.s.h</w:t>
      </w:r>
      <w:proofErr w:type="spellEnd"/>
      <w:r w:rsidR="00520B71" w:rsidRPr="00520B71">
        <w:rPr>
          <w:rFonts w:ascii="Times New Roman" w:hAnsi="Times New Roman"/>
          <w:i/>
          <w:sz w:val="24"/>
          <w:szCs w:val="24"/>
        </w:rPr>
        <w:t xml:space="preserve">. – udziały w kapitale zakładowym spółki, albo nabyły udziały od dotychczasowych wspólników w sposób określony w art. 182 </w:t>
      </w:r>
      <w:proofErr w:type="spellStart"/>
      <w:r w:rsidR="00520B71" w:rsidRPr="00520B71">
        <w:rPr>
          <w:rFonts w:ascii="Times New Roman" w:hAnsi="Times New Roman"/>
          <w:i/>
          <w:sz w:val="24"/>
          <w:szCs w:val="24"/>
        </w:rPr>
        <w:t>k.s.h</w:t>
      </w:r>
      <w:proofErr w:type="spellEnd"/>
      <w:r w:rsidR="00520B71" w:rsidRPr="00520B71">
        <w:rPr>
          <w:rFonts w:ascii="Times New Roman" w:hAnsi="Times New Roman"/>
          <w:i/>
          <w:sz w:val="24"/>
          <w:szCs w:val="24"/>
        </w:rPr>
        <w:t xml:space="preserve">. Tylko te osoby zostają wpisane do księgi </w:t>
      </w:r>
      <w:r w:rsidR="004B422B" w:rsidRPr="004B422B">
        <w:rPr>
          <w:rFonts w:ascii="Times New Roman" w:hAnsi="Times New Roman"/>
          <w:i/>
          <w:sz w:val="24"/>
          <w:szCs w:val="24"/>
        </w:rPr>
        <w:t xml:space="preserve">udziałów (art. 188 § 1 </w:t>
      </w:r>
      <w:proofErr w:type="spellStart"/>
      <w:r w:rsidR="004B422B" w:rsidRPr="004B422B">
        <w:rPr>
          <w:rFonts w:ascii="Times New Roman" w:hAnsi="Times New Roman"/>
          <w:i/>
          <w:sz w:val="24"/>
          <w:szCs w:val="24"/>
        </w:rPr>
        <w:t>k.s.h</w:t>
      </w:r>
      <w:proofErr w:type="spellEnd"/>
      <w:r w:rsidR="004B422B" w:rsidRPr="004B422B">
        <w:rPr>
          <w:rFonts w:ascii="Times New Roman" w:hAnsi="Times New Roman"/>
          <w:i/>
          <w:sz w:val="24"/>
          <w:szCs w:val="24"/>
        </w:rPr>
        <w:t xml:space="preserve">.). W ten sposób określa się jasno skład osobowy spółki. Tę sferę, obejmującą stosunki pomiędzy wspólnikami a spółką, określaną w literaturze, jako sferę zewnętrzną, reguluje kodeks spółek handlowych. </w:t>
      </w:r>
      <w:r w:rsidR="004B422B" w:rsidRPr="004B422B">
        <w:rPr>
          <w:rFonts w:ascii="Times New Roman" w:hAnsi="Times New Roman"/>
          <w:b/>
          <w:i/>
          <w:sz w:val="24"/>
          <w:szCs w:val="24"/>
        </w:rPr>
        <w:t>Przepisy te nie rozstrzygają kwestii majątkowych, stosunków wewnętrznych pomiędzy małżonkami i przynależności akcji do określonego majątku</w:t>
      </w:r>
      <w:r w:rsidR="004B422B" w:rsidRPr="004B422B">
        <w:rPr>
          <w:rFonts w:ascii="Times New Roman" w:hAnsi="Times New Roman"/>
          <w:i/>
          <w:sz w:val="24"/>
          <w:szCs w:val="24"/>
        </w:rPr>
        <w:t>, jak również sposobu zarządzania tym majątkiem. Jest to przedmiot regulacji prawa rodzinnego.</w:t>
      </w:r>
      <w:r w:rsidR="004B422B">
        <w:rPr>
          <w:rFonts w:ascii="Times New Roman" w:hAnsi="Times New Roman"/>
          <w:i/>
          <w:sz w:val="24"/>
          <w:szCs w:val="24"/>
        </w:rPr>
        <w:t xml:space="preserve"> (...) </w:t>
      </w:r>
      <w:r w:rsidR="004B422B" w:rsidRPr="004B422B">
        <w:rPr>
          <w:rFonts w:ascii="Times New Roman" w:hAnsi="Times New Roman"/>
          <w:i/>
          <w:sz w:val="24"/>
          <w:szCs w:val="24"/>
        </w:rPr>
        <w:t>To swoiste rozdzielenie sfery zewnętrznej obejmującej stosunki pomiędzy spółką a wspólnikami oraz sfery wewnętrznej obejmującej stosunki pomiędzy małżonkami różni się od przyjętego przez Sąd Najwyższy w wyroku z dnia 20 maja 1999 r. dualistycznego rozszczepienia udziału na prawa i obowiązki majątkowe oraz prawa i obowiązki korporacyjne.</w:t>
      </w:r>
      <w:r w:rsidR="004B422B">
        <w:rPr>
          <w:rFonts w:ascii="Times New Roman" w:hAnsi="Times New Roman"/>
          <w:i/>
          <w:sz w:val="24"/>
          <w:szCs w:val="24"/>
        </w:rPr>
        <w:t xml:space="preserve"> (...)</w:t>
      </w:r>
      <w:r w:rsidR="00267CA5">
        <w:rPr>
          <w:rFonts w:ascii="Times New Roman" w:hAnsi="Times New Roman"/>
          <w:i/>
          <w:sz w:val="24"/>
          <w:szCs w:val="24"/>
        </w:rPr>
        <w:t xml:space="preserve"> </w:t>
      </w:r>
      <w:r w:rsidR="00267CA5" w:rsidRPr="00267CA5">
        <w:rPr>
          <w:rFonts w:ascii="Times New Roman" w:hAnsi="Times New Roman"/>
          <w:b/>
          <w:i/>
          <w:sz w:val="24"/>
          <w:szCs w:val="24"/>
        </w:rPr>
        <w:t xml:space="preserve">Z tych względów, podzielając stanowisko Sądu Najwyższego wyrażone w wyroku z dnia 21 stycznia 2009 r. należy uznać, że tak jak akcje, również udziały nabyte </w:t>
      </w:r>
      <w:r w:rsidR="00267CA5" w:rsidRPr="00267CA5">
        <w:rPr>
          <w:rFonts w:ascii="Times New Roman" w:hAnsi="Times New Roman"/>
          <w:b/>
          <w:i/>
          <w:sz w:val="24"/>
          <w:szCs w:val="24"/>
        </w:rPr>
        <w:lastRenderedPageBreak/>
        <w:t>przez jednego małżonka ze środków pochodzących z majątku wspólnego wchodzą w skład tego majątku, a wspólnikiem staje się tylko małżonek będący stroną czynności prowadzącej do nabycia udziałów.</w:t>
      </w:r>
      <w:r w:rsidR="004B422B">
        <w:rPr>
          <w:rFonts w:ascii="Times New Roman" w:hAnsi="Times New Roman"/>
          <w:i/>
          <w:sz w:val="24"/>
          <w:szCs w:val="24"/>
        </w:rPr>
        <w:t>”</w:t>
      </w:r>
    </w:p>
    <w:p w14:paraId="73872B4B" w14:textId="77777777" w:rsidR="002348A4" w:rsidRDefault="002348A4" w:rsidP="003B2F89">
      <w:pPr>
        <w:spacing w:before="80" w:after="80"/>
        <w:jc w:val="both"/>
        <w:rPr>
          <w:rFonts w:ascii="Times New Roman" w:hAnsi="Times New Roman"/>
          <w:b/>
          <w:i/>
          <w:sz w:val="24"/>
          <w:szCs w:val="24"/>
        </w:rPr>
      </w:pPr>
    </w:p>
    <w:p w14:paraId="2394C42C" w14:textId="77777777" w:rsidR="00AD2D4E" w:rsidRPr="002348A4" w:rsidRDefault="002348A4" w:rsidP="003B2F89">
      <w:pPr>
        <w:spacing w:before="80" w:after="80"/>
        <w:jc w:val="both"/>
        <w:rPr>
          <w:rFonts w:ascii="Times New Roman" w:hAnsi="Times New Roman"/>
          <w:i/>
          <w:sz w:val="24"/>
          <w:szCs w:val="24"/>
        </w:rPr>
      </w:pPr>
      <w:r w:rsidRPr="002348A4">
        <w:rPr>
          <w:rFonts w:ascii="Times New Roman" w:hAnsi="Times New Roman"/>
          <w:b/>
          <w:i/>
          <w:sz w:val="24"/>
          <w:szCs w:val="24"/>
        </w:rPr>
        <w:t>- postanowienie SN z 31.01.2013 r., Sygn. akt II CSK 349/12:</w:t>
      </w:r>
      <w:r w:rsidRPr="002348A4">
        <w:rPr>
          <w:rFonts w:ascii="Times New Roman" w:hAnsi="Times New Roman"/>
          <w:i/>
          <w:sz w:val="24"/>
          <w:szCs w:val="24"/>
        </w:rPr>
        <w:t xml:space="preserve"> „Na potrzeby sprawy o podział majątku wspólnego wystarczające jest jednak stwierdzenie, że należące do majątku wspólnego udziały w spółce z ograniczoną odpowiedzialnością </w:t>
      </w:r>
      <w:r w:rsidRPr="002348A4">
        <w:rPr>
          <w:rFonts w:ascii="Times New Roman" w:hAnsi="Times New Roman"/>
          <w:b/>
          <w:i/>
          <w:sz w:val="24"/>
          <w:szCs w:val="24"/>
        </w:rPr>
        <w:t>co do zasady mogą być podzielone pomiędzy byłych małżonków</w:t>
      </w:r>
      <w:r w:rsidRPr="002348A4">
        <w:rPr>
          <w:rFonts w:ascii="Times New Roman" w:hAnsi="Times New Roman"/>
          <w:i/>
          <w:sz w:val="24"/>
          <w:szCs w:val="24"/>
        </w:rPr>
        <w:t xml:space="preserve">, a więc także przypaść temu z współuprawnionych, który nie był wspólnikiem. </w:t>
      </w:r>
      <w:r w:rsidRPr="002348A4">
        <w:rPr>
          <w:rFonts w:ascii="Times New Roman" w:hAnsi="Times New Roman"/>
          <w:b/>
          <w:i/>
          <w:sz w:val="24"/>
          <w:szCs w:val="24"/>
        </w:rPr>
        <w:t>Przeszkodą do dokonania takiego podziału byłoby jedynie zawarcie w umowie spółki przewidzianego w art. 183</w:t>
      </w:r>
      <w:r w:rsidRPr="002348A4">
        <w:rPr>
          <w:rFonts w:ascii="Times New Roman" w:hAnsi="Times New Roman"/>
          <w:b/>
          <w:i/>
          <w:sz w:val="24"/>
          <w:szCs w:val="24"/>
          <w:vertAlign w:val="superscript"/>
        </w:rPr>
        <w:t>1</w:t>
      </w:r>
      <w:r w:rsidRPr="002348A4">
        <w:rPr>
          <w:rFonts w:ascii="Times New Roman" w:hAnsi="Times New Roman"/>
          <w:b/>
          <w:i/>
          <w:sz w:val="24"/>
          <w:szCs w:val="24"/>
        </w:rPr>
        <w:t xml:space="preserve"> </w:t>
      </w:r>
      <w:proofErr w:type="spellStart"/>
      <w:r w:rsidRPr="002348A4">
        <w:rPr>
          <w:rFonts w:ascii="Times New Roman" w:hAnsi="Times New Roman"/>
          <w:b/>
          <w:i/>
          <w:sz w:val="24"/>
          <w:szCs w:val="24"/>
        </w:rPr>
        <w:t>k.s.h</w:t>
      </w:r>
      <w:proofErr w:type="spellEnd"/>
      <w:r w:rsidRPr="002348A4">
        <w:rPr>
          <w:rFonts w:ascii="Times New Roman" w:hAnsi="Times New Roman"/>
          <w:b/>
          <w:i/>
          <w:sz w:val="24"/>
          <w:szCs w:val="24"/>
        </w:rPr>
        <w:t>.</w:t>
      </w:r>
      <w:r w:rsidRPr="002348A4">
        <w:rPr>
          <w:rFonts w:ascii="Times New Roman" w:hAnsi="Times New Roman"/>
          <w:i/>
          <w:sz w:val="24"/>
          <w:szCs w:val="24"/>
        </w:rPr>
        <w:t xml:space="preserve"> zastrzeżenia ograniczającego lub wyłączającego wstąpienie do tej spółki współmałżonka wspólnika w przypadku, gdy udziały są objęte wspólnością majątkową.”</w:t>
      </w:r>
    </w:p>
    <w:p w14:paraId="1D36A36E" w14:textId="77777777" w:rsidR="00AD2D4E" w:rsidRDefault="00AD2D4E" w:rsidP="003B2F89">
      <w:pPr>
        <w:spacing w:before="80" w:after="80"/>
        <w:jc w:val="both"/>
        <w:rPr>
          <w:rFonts w:ascii="Times New Roman" w:hAnsi="Times New Roman"/>
          <w:sz w:val="24"/>
          <w:szCs w:val="24"/>
        </w:rPr>
      </w:pPr>
    </w:p>
    <w:p w14:paraId="54286576" w14:textId="77777777" w:rsidR="00500366" w:rsidRPr="00500366" w:rsidRDefault="00500366" w:rsidP="003B2F89">
      <w:pPr>
        <w:spacing w:before="80" w:after="80"/>
        <w:jc w:val="both"/>
        <w:rPr>
          <w:rFonts w:ascii="Times New Roman" w:hAnsi="Times New Roman"/>
          <w:b/>
          <w:sz w:val="24"/>
          <w:szCs w:val="24"/>
        </w:rPr>
      </w:pPr>
      <w:r w:rsidRPr="00500366">
        <w:rPr>
          <w:rFonts w:ascii="Times New Roman" w:hAnsi="Times New Roman"/>
          <w:b/>
          <w:sz w:val="24"/>
          <w:szCs w:val="24"/>
        </w:rPr>
        <w:t>Kazus 3</w:t>
      </w:r>
    </w:p>
    <w:p w14:paraId="2CC94A0B" w14:textId="112516C4"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 xml:space="preserve">W dniu 3 czerwca </w:t>
      </w:r>
      <w:r w:rsidR="002C2F22">
        <w:rPr>
          <w:rFonts w:ascii="Times New Roman" w:hAnsi="Times New Roman"/>
          <w:sz w:val="24"/>
          <w:szCs w:val="24"/>
        </w:rPr>
        <w:t>2023</w:t>
      </w:r>
      <w:r w:rsidR="002C2F22">
        <w:rPr>
          <w:rFonts w:ascii="Times New Roman" w:hAnsi="Times New Roman"/>
          <w:sz w:val="24"/>
          <w:szCs w:val="24"/>
        </w:rPr>
        <w:t xml:space="preserve"> </w:t>
      </w:r>
      <w:r>
        <w:rPr>
          <w:rFonts w:ascii="Times New Roman" w:hAnsi="Times New Roman"/>
          <w:sz w:val="24"/>
          <w:szCs w:val="24"/>
        </w:rPr>
        <w:t xml:space="preserve">r. zgromadzenie wspólników podjęło uchwałę wyrażającą zgodę na </w:t>
      </w:r>
      <w:r w:rsidRPr="007174D8">
        <w:rPr>
          <w:rFonts w:ascii="Times New Roman" w:hAnsi="Times New Roman"/>
          <w:sz w:val="24"/>
          <w:szCs w:val="24"/>
        </w:rPr>
        <w:t xml:space="preserve">zbycie </w:t>
      </w:r>
      <w:r>
        <w:rPr>
          <w:rFonts w:ascii="Times New Roman" w:hAnsi="Times New Roman"/>
          <w:sz w:val="24"/>
          <w:szCs w:val="24"/>
        </w:rPr>
        <w:t xml:space="preserve">prawa użytkowania wieczystego </w:t>
      </w:r>
      <w:r w:rsidRPr="007174D8">
        <w:rPr>
          <w:rFonts w:ascii="Times New Roman" w:hAnsi="Times New Roman"/>
          <w:sz w:val="24"/>
          <w:szCs w:val="24"/>
        </w:rPr>
        <w:t xml:space="preserve">nieruchomości </w:t>
      </w:r>
      <w:r>
        <w:rPr>
          <w:rFonts w:ascii="Times New Roman" w:hAnsi="Times New Roman"/>
          <w:sz w:val="24"/>
          <w:szCs w:val="24"/>
        </w:rPr>
        <w:t xml:space="preserve">należącej do spółki. Uchwała </w:t>
      </w:r>
      <w:r w:rsidRPr="007174D8">
        <w:rPr>
          <w:rFonts w:ascii="Times New Roman" w:hAnsi="Times New Roman"/>
          <w:sz w:val="24"/>
          <w:szCs w:val="24"/>
        </w:rPr>
        <w:t xml:space="preserve">nie precyzowała </w:t>
      </w:r>
      <w:r>
        <w:rPr>
          <w:rFonts w:ascii="Times New Roman" w:hAnsi="Times New Roman"/>
          <w:sz w:val="24"/>
          <w:szCs w:val="24"/>
        </w:rPr>
        <w:t xml:space="preserve">jednak </w:t>
      </w:r>
      <w:r w:rsidRPr="007174D8">
        <w:rPr>
          <w:rFonts w:ascii="Times New Roman" w:hAnsi="Times New Roman"/>
          <w:sz w:val="24"/>
          <w:szCs w:val="24"/>
        </w:rPr>
        <w:t>warunków ewentualnej sprzedaży ani nie wskazywała potencjalnego nabywcy, a także nie określała warunków cenowych.</w:t>
      </w:r>
      <w:r>
        <w:rPr>
          <w:rFonts w:ascii="Times New Roman" w:hAnsi="Times New Roman"/>
          <w:sz w:val="24"/>
          <w:szCs w:val="24"/>
        </w:rPr>
        <w:t xml:space="preserve"> </w:t>
      </w:r>
    </w:p>
    <w:p w14:paraId="412A4A3C" w14:textId="7CA25069"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 xml:space="preserve">W dniu 10 października </w:t>
      </w:r>
      <w:r w:rsidR="002C2F22">
        <w:rPr>
          <w:rFonts w:ascii="Times New Roman" w:hAnsi="Times New Roman"/>
          <w:sz w:val="24"/>
          <w:szCs w:val="24"/>
        </w:rPr>
        <w:t>2023</w:t>
      </w:r>
      <w:r>
        <w:rPr>
          <w:rFonts w:ascii="Times New Roman" w:hAnsi="Times New Roman"/>
          <w:sz w:val="24"/>
          <w:szCs w:val="24"/>
        </w:rPr>
        <w:t xml:space="preserve">r. X-spółka z o.o. zawarła ze swoim prokurentem, Janem K. (jako kupującym), umowę sprzedaży użytkowania wieczystego </w:t>
      </w:r>
      <w:r w:rsidRPr="00C915A2">
        <w:rPr>
          <w:rFonts w:ascii="Times New Roman" w:hAnsi="Times New Roman"/>
          <w:sz w:val="24"/>
          <w:szCs w:val="24"/>
        </w:rPr>
        <w:t>gruntu i własności wzniesionych na nim budynków</w:t>
      </w:r>
      <w:r>
        <w:rPr>
          <w:rFonts w:ascii="Times New Roman" w:hAnsi="Times New Roman"/>
          <w:sz w:val="24"/>
          <w:szCs w:val="24"/>
        </w:rPr>
        <w:t xml:space="preserve">. Wartość rynkowa nieruchomości wynosiła 1.5 mln zł, natomiast cena określona ww. umowie – 271 000 zł. </w:t>
      </w:r>
    </w:p>
    <w:p w14:paraId="0E6EA928" w14:textId="1732D842"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 xml:space="preserve">Ponadto, w dniu 20 listopada </w:t>
      </w:r>
      <w:r w:rsidR="002C2F22">
        <w:rPr>
          <w:rFonts w:ascii="Times New Roman" w:hAnsi="Times New Roman"/>
          <w:sz w:val="24"/>
          <w:szCs w:val="24"/>
        </w:rPr>
        <w:t>2023</w:t>
      </w:r>
      <w:r>
        <w:rPr>
          <w:rFonts w:ascii="Times New Roman" w:hAnsi="Times New Roman"/>
          <w:sz w:val="24"/>
          <w:szCs w:val="24"/>
        </w:rPr>
        <w:t xml:space="preserve">r. spółka udzieliła poręczenia wekslowego za weksel własny </w:t>
      </w:r>
      <w:r w:rsidRPr="0039067A">
        <w:rPr>
          <w:rFonts w:ascii="Times New Roman" w:hAnsi="Times New Roman"/>
          <w:i/>
          <w:sz w:val="24"/>
          <w:szCs w:val="24"/>
        </w:rPr>
        <w:t>in blanco</w:t>
      </w:r>
      <w:r>
        <w:rPr>
          <w:rFonts w:ascii="Times New Roman" w:hAnsi="Times New Roman"/>
          <w:sz w:val="24"/>
          <w:szCs w:val="24"/>
        </w:rPr>
        <w:t xml:space="preserve"> wystawiony przez członka jej rady nadzorczej Ewelinę O. Podpis na wekslu w imieniu spółki złożył je prokurent Jan K. Weksel ten został następnie nabyty od remitenta w drodze indosu przez Y-S.A., która, po nadejściu terminu płatności, domaga się zapłaty od Eweliny O., i X-spółki z o.o. Spółka ta, powołując się na art. 15 § 1 </w:t>
      </w:r>
      <w:proofErr w:type="spellStart"/>
      <w:r>
        <w:rPr>
          <w:rFonts w:ascii="Times New Roman" w:hAnsi="Times New Roman"/>
          <w:sz w:val="24"/>
          <w:szCs w:val="24"/>
        </w:rPr>
        <w:t>k.s.h</w:t>
      </w:r>
      <w:proofErr w:type="spellEnd"/>
      <w:r>
        <w:rPr>
          <w:rFonts w:ascii="Times New Roman" w:hAnsi="Times New Roman"/>
          <w:sz w:val="24"/>
          <w:szCs w:val="24"/>
        </w:rPr>
        <w:t xml:space="preserve">., uchyla się od zapłaty wskazując na brak zgody zgromadzenia wspólników na udzielenie poręczenia wekslowego, a także podnosi, że weksel został wypełniony niezgodnie z porozumieniem wekslowym (zamiast kwoty 100 000 zł remitent wpisał kwotę 150 000 zł). Zdaniem powodowej Y-S.A. regulacja art. 15 § 1 </w:t>
      </w:r>
      <w:proofErr w:type="spellStart"/>
      <w:r>
        <w:rPr>
          <w:rFonts w:ascii="Times New Roman" w:hAnsi="Times New Roman"/>
          <w:sz w:val="24"/>
          <w:szCs w:val="24"/>
        </w:rPr>
        <w:t>k.s.h</w:t>
      </w:r>
      <w:proofErr w:type="spellEnd"/>
      <w:r>
        <w:rPr>
          <w:rFonts w:ascii="Times New Roman" w:hAnsi="Times New Roman"/>
          <w:sz w:val="24"/>
          <w:szCs w:val="24"/>
        </w:rPr>
        <w:t xml:space="preserve">. nie ma zastosowania do poręczenia wekslowego, ponieważ </w:t>
      </w:r>
      <w:r w:rsidRPr="003A7F97">
        <w:rPr>
          <w:rFonts w:ascii="Times New Roman" w:hAnsi="Times New Roman"/>
          <w:sz w:val="24"/>
          <w:szCs w:val="24"/>
        </w:rPr>
        <w:t xml:space="preserve">sprzeciwia się </w:t>
      </w:r>
      <w:r>
        <w:rPr>
          <w:rFonts w:ascii="Times New Roman" w:hAnsi="Times New Roman"/>
          <w:sz w:val="24"/>
          <w:szCs w:val="24"/>
        </w:rPr>
        <w:t xml:space="preserve">temu </w:t>
      </w:r>
      <w:r w:rsidRPr="003A7F97">
        <w:rPr>
          <w:rFonts w:ascii="Times New Roman" w:hAnsi="Times New Roman"/>
          <w:sz w:val="24"/>
          <w:szCs w:val="24"/>
        </w:rPr>
        <w:t>specyfika obrotu wekslowego i wzgląd na jego bezpieczeństwo</w:t>
      </w:r>
      <w:r>
        <w:rPr>
          <w:rFonts w:ascii="Times New Roman" w:hAnsi="Times New Roman"/>
          <w:sz w:val="24"/>
          <w:szCs w:val="24"/>
        </w:rPr>
        <w:t xml:space="preserve">. </w:t>
      </w:r>
    </w:p>
    <w:p w14:paraId="465C1057" w14:textId="77777777"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 xml:space="preserve">Czy umowa sprzedaży użytkowania wieczystego jest ważna? Czy udzielenie poręczenie wekslowe jest ważne? Kto ponosi odpowiedzialność </w:t>
      </w:r>
      <w:r w:rsidR="00EE3145">
        <w:rPr>
          <w:rFonts w:ascii="Times New Roman" w:hAnsi="Times New Roman"/>
          <w:sz w:val="24"/>
          <w:szCs w:val="24"/>
        </w:rPr>
        <w:t>za zobowiązanie wekslowe?</w:t>
      </w:r>
    </w:p>
    <w:p w14:paraId="54EBA4E8" w14:textId="77777777" w:rsidR="003B2F89" w:rsidRDefault="003B2F89" w:rsidP="003B2F89">
      <w:pPr>
        <w:spacing w:before="80" w:after="80"/>
        <w:jc w:val="both"/>
        <w:rPr>
          <w:rFonts w:ascii="Times New Roman" w:hAnsi="Times New Roman"/>
          <w:sz w:val="24"/>
          <w:szCs w:val="24"/>
        </w:rPr>
      </w:pPr>
    </w:p>
    <w:p w14:paraId="6F22472C" w14:textId="77777777" w:rsidR="00F911D3" w:rsidRPr="00AE57BB" w:rsidRDefault="00F911D3" w:rsidP="00F911D3">
      <w:pPr>
        <w:spacing w:before="80" w:after="80"/>
        <w:jc w:val="both"/>
        <w:rPr>
          <w:rFonts w:ascii="Times New Roman" w:hAnsi="Times New Roman"/>
          <w:b/>
          <w:i/>
          <w:sz w:val="24"/>
          <w:szCs w:val="24"/>
        </w:rPr>
      </w:pPr>
      <w:r w:rsidRPr="00AE57BB">
        <w:rPr>
          <w:rFonts w:ascii="Times New Roman" w:hAnsi="Times New Roman"/>
          <w:b/>
          <w:i/>
          <w:sz w:val="24"/>
          <w:szCs w:val="24"/>
        </w:rPr>
        <w:t>Zob.</w:t>
      </w:r>
      <w:r>
        <w:rPr>
          <w:rFonts w:ascii="Times New Roman" w:hAnsi="Times New Roman"/>
          <w:b/>
          <w:i/>
          <w:sz w:val="24"/>
          <w:szCs w:val="24"/>
        </w:rPr>
        <w:t xml:space="preserve"> orzeczenia</w:t>
      </w:r>
      <w:r w:rsidRPr="00AE57BB">
        <w:rPr>
          <w:rFonts w:ascii="Times New Roman" w:hAnsi="Times New Roman"/>
          <w:b/>
          <w:i/>
          <w:sz w:val="24"/>
          <w:szCs w:val="24"/>
        </w:rPr>
        <w:t xml:space="preserve">: </w:t>
      </w:r>
    </w:p>
    <w:p w14:paraId="11115C99" w14:textId="77777777" w:rsidR="003B2F89" w:rsidRDefault="003B2F89" w:rsidP="003B2F89">
      <w:pPr>
        <w:spacing w:before="80" w:after="80"/>
        <w:jc w:val="both"/>
        <w:rPr>
          <w:rFonts w:ascii="Times New Roman" w:hAnsi="Times New Roman"/>
          <w:i/>
          <w:sz w:val="24"/>
          <w:szCs w:val="24"/>
        </w:rPr>
      </w:pPr>
      <w:r w:rsidRPr="00723E9A">
        <w:rPr>
          <w:rFonts w:ascii="Times New Roman" w:hAnsi="Times New Roman"/>
          <w:b/>
          <w:i/>
          <w:sz w:val="24"/>
          <w:szCs w:val="24"/>
        </w:rPr>
        <w:t>- wyrok SN z 22 października 2010 r. (III CZP 69/10):</w:t>
      </w:r>
      <w:r>
        <w:rPr>
          <w:rFonts w:ascii="Times New Roman" w:hAnsi="Times New Roman"/>
          <w:i/>
          <w:sz w:val="24"/>
          <w:szCs w:val="24"/>
        </w:rPr>
        <w:t xml:space="preserve"> „</w:t>
      </w:r>
      <w:r w:rsidRPr="00240560">
        <w:rPr>
          <w:rFonts w:ascii="Times New Roman" w:hAnsi="Times New Roman"/>
          <w:i/>
          <w:sz w:val="24"/>
          <w:szCs w:val="24"/>
        </w:rPr>
        <w:t xml:space="preserve">Umowa sprzedaży prawa użytkowania wieczystego gruntu i własności wzniesionych na nim budynków zawarta między spółką kapitałową i jej prokurentem jako kupującym, w której znacznie zaniżono cenę sprzedaży, jest inną podobną umową w rozumieniu art. 15 § 1 </w:t>
      </w:r>
      <w:proofErr w:type="spellStart"/>
      <w:r w:rsidRPr="00240560">
        <w:rPr>
          <w:rFonts w:ascii="Times New Roman" w:hAnsi="Times New Roman"/>
          <w:i/>
          <w:sz w:val="24"/>
          <w:szCs w:val="24"/>
        </w:rPr>
        <w:t>k.s.h</w:t>
      </w:r>
      <w:proofErr w:type="spellEnd"/>
      <w:r w:rsidRPr="00240560">
        <w:rPr>
          <w:rFonts w:ascii="Times New Roman" w:hAnsi="Times New Roman"/>
          <w:i/>
          <w:sz w:val="24"/>
          <w:szCs w:val="24"/>
        </w:rPr>
        <w:t>.</w:t>
      </w:r>
      <w:r>
        <w:rPr>
          <w:rFonts w:ascii="Times New Roman" w:hAnsi="Times New Roman"/>
          <w:i/>
          <w:sz w:val="24"/>
          <w:szCs w:val="24"/>
        </w:rPr>
        <w:t>”</w:t>
      </w:r>
    </w:p>
    <w:p w14:paraId="621A0590" w14:textId="77777777" w:rsidR="003B2F89" w:rsidRPr="006F69C5" w:rsidRDefault="003B2F89" w:rsidP="003B2F89">
      <w:pPr>
        <w:spacing w:before="80" w:after="80"/>
        <w:jc w:val="both"/>
        <w:rPr>
          <w:rFonts w:ascii="Times New Roman" w:hAnsi="Times New Roman"/>
          <w:i/>
          <w:sz w:val="24"/>
          <w:szCs w:val="24"/>
        </w:rPr>
      </w:pPr>
      <w:r>
        <w:rPr>
          <w:rFonts w:ascii="Times New Roman" w:hAnsi="Times New Roman"/>
          <w:i/>
          <w:sz w:val="24"/>
          <w:szCs w:val="24"/>
        </w:rPr>
        <w:lastRenderedPageBreak/>
        <w:t>Z uzasadnienia: „</w:t>
      </w:r>
      <w:r w:rsidRPr="00A4387E">
        <w:rPr>
          <w:rFonts w:ascii="Times New Roman" w:hAnsi="Times New Roman"/>
          <w:i/>
          <w:sz w:val="24"/>
          <w:szCs w:val="24"/>
        </w:rPr>
        <w:t xml:space="preserve">Wobec nieprecyzyjnego sformułowania art. 15 § 1 </w:t>
      </w:r>
      <w:proofErr w:type="spellStart"/>
      <w:r w:rsidRPr="00A4387E">
        <w:rPr>
          <w:rFonts w:ascii="Times New Roman" w:hAnsi="Times New Roman"/>
          <w:i/>
          <w:sz w:val="24"/>
          <w:szCs w:val="24"/>
        </w:rPr>
        <w:t>k.s.h</w:t>
      </w:r>
      <w:proofErr w:type="spellEnd"/>
      <w:r w:rsidRPr="00A4387E">
        <w:rPr>
          <w:rFonts w:ascii="Times New Roman" w:hAnsi="Times New Roman"/>
          <w:i/>
          <w:sz w:val="24"/>
          <w:szCs w:val="24"/>
        </w:rPr>
        <w:t>. należy więc przywiązywać wagę nie do wykładni językowej, lecz funkcjonalnej. Inną umową jest więc nie umowa, której kształt normatywny zbliżony jest do przynajmniej jednej z umów wymienionych w tym przepisie, lecz umowa, której zawarcie umożliwia, w równie łatwy sposób jak w przypadku umowy pożyczki, kredytu lub poręczenia, ukształtowanie przewidzianych w niej świadczeń w taki sposób, że funkcjonariusz spółki, wymieniony w tym przepisie uzyskuje nieuzasadnioną korzyść kosztem spółki. (...)</w:t>
      </w:r>
      <w:r w:rsidRPr="006F69C5">
        <w:rPr>
          <w:rFonts w:ascii="Times New Roman" w:hAnsi="Times New Roman"/>
          <w:i/>
          <w:sz w:val="24"/>
          <w:szCs w:val="24"/>
        </w:rPr>
        <w:t xml:space="preserve">Należy jednak wyraźnie podkreślić, że umowa sprzedaży nieruchomości przez spółkę na rzecz jednego z funkcjonariuszy wymienionych w art. 15 § 1 </w:t>
      </w:r>
      <w:proofErr w:type="spellStart"/>
      <w:r w:rsidRPr="006F69C5">
        <w:rPr>
          <w:rFonts w:ascii="Times New Roman" w:hAnsi="Times New Roman"/>
          <w:i/>
          <w:sz w:val="24"/>
          <w:szCs w:val="24"/>
        </w:rPr>
        <w:t>k.s.h</w:t>
      </w:r>
      <w:proofErr w:type="spellEnd"/>
      <w:r w:rsidRPr="006F69C5">
        <w:rPr>
          <w:rFonts w:ascii="Times New Roman" w:hAnsi="Times New Roman"/>
          <w:i/>
          <w:sz w:val="24"/>
          <w:szCs w:val="24"/>
        </w:rPr>
        <w:t>. oraz umowa, w której taki funkcjonariusz występuje jako zbywca, wymagają zgody zgromadzenia wspólników, gdyż stwarzają - podobnie jak umowy wymienione w tym przepisie - zagrożenie dla interesów spółki przez możliwość ukształtowania ich treści odbiegającej od standardów przyjmowanych w obrocie, tak aby spółka traciła, a jej kosztem zyskiwał funkcjonariusz. O tym, czy w konkretnym przypadku umowa taka stanowi rzeczywiście zagrożenie dla interesów spółki, decyduje zgromadzenie wspólników udzielając zgody na jej zawarcie lub nie wyrażając na to zgody.</w:t>
      </w:r>
    </w:p>
    <w:p w14:paraId="1B54570E" w14:textId="77777777" w:rsidR="003B2F89" w:rsidRDefault="003B2F89" w:rsidP="003B2F89">
      <w:pPr>
        <w:spacing w:before="80" w:after="80"/>
        <w:jc w:val="both"/>
        <w:rPr>
          <w:rFonts w:ascii="Times New Roman" w:hAnsi="Times New Roman"/>
          <w:i/>
          <w:sz w:val="24"/>
          <w:szCs w:val="24"/>
        </w:rPr>
      </w:pPr>
      <w:r w:rsidRPr="006F69C5">
        <w:rPr>
          <w:rFonts w:ascii="Times New Roman" w:hAnsi="Times New Roman"/>
          <w:i/>
          <w:sz w:val="24"/>
          <w:szCs w:val="24"/>
        </w:rPr>
        <w:t xml:space="preserve">Przedstawiona interpretacja art. 15 § 1 </w:t>
      </w:r>
      <w:proofErr w:type="spellStart"/>
      <w:r w:rsidRPr="006F69C5">
        <w:rPr>
          <w:rFonts w:ascii="Times New Roman" w:hAnsi="Times New Roman"/>
          <w:i/>
          <w:sz w:val="24"/>
          <w:szCs w:val="24"/>
        </w:rPr>
        <w:t>k.s.h</w:t>
      </w:r>
      <w:proofErr w:type="spellEnd"/>
      <w:r w:rsidRPr="006F69C5">
        <w:rPr>
          <w:rFonts w:ascii="Times New Roman" w:hAnsi="Times New Roman"/>
          <w:i/>
          <w:sz w:val="24"/>
          <w:szCs w:val="24"/>
        </w:rPr>
        <w:t xml:space="preserve">. daje gwarancję ochrony interesów spółki, poddając kontroli walnego zgromadzenia (zgromadzenia wspólników) każdą umowę, która stwarza podobne zagrożenie dla interesów spółki, co umowy wyraźnie wymienione w tym przepisie. Nie stanowi zarazem nadmiernego utrudnienia dla spółki, zważywszy że chodzi tyko o szczególne umowy, tj. takie, w których stroną są osoby powołane do strzeżenia interesów spółki. Wskazanie, że zgoda dotyczy tylko umów, w których brak ekwiwalentności świadczeń narusza interes spółki, stwarza barierę przed nadużywaniem przez zgromadzenie wspólników spółki kapitałowej jego uprawnień kontrolnych przewidzianych w art. 15 § 1 </w:t>
      </w:r>
      <w:proofErr w:type="spellStart"/>
      <w:r w:rsidRPr="006F69C5">
        <w:rPr>
          <w:rFonts w:ascii="Times New Roman" w:hAnsi="Times New Roman"/>
          <w:i/>
          <w:sz w:val="24"/>
          <w:szCs w:val="24"/>
        </w:rPr>
        <w:t>k.s.h</w:t>
      </w:r>
      <w:proofErr w:type="spellEnd"/>
      <w:r w:rsidRPr="006F69C5">
        <w:rPr>
          <w:rFonts w:ascii="Times New Roman" w:hAnsi="Times New Roman"/>
          <w:i/>
          <w:sz w:val="24"/>
          <w:szCs w:val="24"/>
        </w:rPr>
        <w:t>.</w:t>
      </w:r>
    </w:p>
    <w:p w14:paraId="0D9C8397" w14:textId="77777777" w:rsidR="003B2F89" w:rsidRDefault="003B2F89" w:rsidP="003B2F89">
      <w:pPr>
        <w:spacing w:before="80" w:after="80"/>
        <w:jc w:val="both"/>
        <w:rPr>
          <w:rFonts w:ascii="Times New Roman" w:hAnsi="Times New Roman"/>
          <w:i/>
          <w:sz w:val="24"/>
          <w:szCs w:val="24"/>
        </w:rPr>
      </w:pPr>
      <w:r w:rsidRPr="006F69C5">
        <w:rPr>
          <w:rFonts w:ascii="Times New Roman" w:hAnsi="Times New Roman"/>
          <w:i/>
          <w:sz w:val="24"/>
          <w:szCs w:val="24"/>
        </w:rPr>
        <w:t xml:space="preserve">Należy podkreślić, że ponieważ chodzi o umowę zawieraną z osobą wyraźnie określoną, uchwała musi się odnosić do tej konkretnej osoby, nie może więc być zastąpiona zgodą blankietową, np. zgodą przewidzianą w art. 228 pkt 4 </w:t>
      </w:r>
      <w:proofErr w:type="spellStart"/>
      <w:r w:rsidRPr="006F69C5">
        <w:rPr>
          <w:rFonts w:ascii="Times New Roman" w:hAnsi="Times New Roman"/>
          <w:i/>
          <w:sz w:val="24"/>
          <w:szCs w:val="24"/>
        </w:rPr>
        <w:t>k.s.h</w:t>
      </w:r>
      <w:proofErr w:type="spellEnd"/>
      <w:r w:rsidRPr="006F69C5">
        <w:rPr>
          <w:rFonts w:ascii="Times New Roman" w:hAnsi="Times New Roman"/>
          <w:i/>
          <w:sz w:val="24"/>
          <w:szCs w:val="24"/>
        </w:rPr>
        <w:t>.).</w:t>
      </w:r>
      <w:r>
        <w:rPr>
          <w:rFonts w:ascii="Times New Roman" w:hAnsi="Times New Roman"/>
          <w:i/>
          <w:sz w:val="24"/>
          <w:szCs w:val="24"/>
        </w:rPr>
        <w:t>”</w:t>
      </w:r>
    </w:p>
    <w:p w14:paraId="4870E09E" w14:textId="77777777" w:rsidR="003B2F89" w:rsidRPr="00AE4F00" w:rsidRDefault="003B2F89" w:rsidP="003B2F89">
      <w:pPr>
        <w:spacing w:before="80" w:after="80"/>
        <w:jc w:val="both"/>
        <w:rPr>
          <w:rFonts w:ascii="Times New Roman" w:hAnsi="Times New Roman"/>
          <w:i/>
          <w:sz w:val="24"/>
          <w:szCs w:val="24"/>
        </w:rPr>
      </w:pPr>
      <w:r w:rsidRPr="00723E9A">
        <w:rPr>
          <w:rFonts w:ascii="Times New Roman" w:hAnsi="Times New Roman"/>
          <w:b/>
          <w:i/>
          <w:sz w:val="24"/>
          <w:szCs w:val="24"/>
        </w:rPr>
        <w:t>- - wyrok SN z 5 lutego 2009 r. (I CSK 297/08)</w:t>
      </w:r>
      <w:r>
        <w:rPr>
          <w:rFonts w:ascii="Times New Roman" w:hAnsi="Times New Roman"/>
          <w:i/>
          <w:sz w:val="24"/>
          <w:szCs w:val="24"/>
        </w:rPr>
        <w:t xml:space="preserve">: </w:t>
      </w:r>
      <w:r w:rsidRPr="00AE4F00">
        <w:rPr>
          <w:rFonts w:ascii="Times New Roman" w:hAnsi="Times New Roman"/>
          <w:i/>
          <w:sz w:val="24"/>
          <w:szCs w:val="24"/>
        </w:rPr>
        <w:t xml:space="preserve">1. Poręczenie w art. 15 § 1 </w:t>
      </w:r>
      <w:proofErr w:type="spellStart"/>
      <w:r w:rsidRPr="00AE4F00">
        <w:rPr>
          <w:rFonts w:ascii="Times New Roman" w:hAnsi="Times New Roman"/>
          <w:i/>
          <w:sz w:val="24"/>
          <w:szCs w:val="24"/>
        </w:rPr>
        <w:t>k.s.h</w:t>
      </w:r>
      <w:proofErr w:type="spellEnd"/>
      <w:r w:rsidRPr="00AE4F00">
        <w:rPr>
          <w:rFonts w:ascii="Times New Roman" w:hAnsi="Times New Roman"/>
          <w:i/>
          <w:sz w:val="24"/>
          <w:szCs w:val="24"/>
        </w:rPr>
        <w:t>. oznacza nie tylko poręczenie uregulowane w art. 876 i nast. k.c., ale i poręczenie wekslowe (art. 30 i nast. Prawa wekslowego) oraz czekowe (art. 25 i nast. Prawa czekowego).</w:t>
      </w:r>
    </w:p>
    <w:p w14:paraId="2D65E00C" w14:textId="77777777" w:rsidR="003B2F89" w:rsidRPr="00AE4F00" w:rsidRDefault="003B2F89" w:rsidP="003B2F89">
      <w:pPr>
        <w:spacing w:before="80" w:after="80"/>
        <w:jc w:val="both"/>
        <w:rPr>
          <w:rFonts w:ascii="Times New Roman" w:hAnsi="Times New Roman"/>
          <w:i/>
          <w:sz w:val="24"/>
          <w:szCs w:val="24"/>
        </w:rPr>
      </w:pPr>
      <w:r w:rsidRPr="00AE4F00">
        <w:rPr>
          <w:rFonts w:ascii="Times New Roman" w:hAnsi="Times New Roman"/>
          <w:i/>
          <w:sz w:val="24"/>
          <w:szCs w:val="24"/>
        </w:rPr>
        <w:t xml:space="preserve">2. Zawarcie przez zarząd umowy objętej hipotezą art. 15 § 1 </w:t>
      </w:r>
      <w:proofErr w:type="spellStart"/>
      <w:r w:rsidRPr="00AE4F00">
        <w:rPr>
          <w:rFonts w:ascii="Times New Roman" w:hAnsi="Times New Roman"/>
          <w:i/>
          <w:sz w:val="24"/>
          <w:szCs w:val="24"/>
        </w:rPr>
        <w:t>k.s.h</w:t>
      </w:r>
      <w:proofErr w:type="spellEnd"/>
      <w:r w:rsidRPr="00AE4F00">
        <w:rPr>
          <w:rFonts w:ascii="Times New Roman" w:hAnsi="Times New Roman"/>
          <w:i/>
          <w:sz w:val="24"/>
          <w:szCs w:val="24"/>
        </w:rPr>
        <w:t xml:space="preserve">. bez wymaganej przez ten przepis zgody stanowi działanie w charakterze organu osoby prawnej bez stosownej do tego kompetencji, podlegające przedstawionej wyżej sankcji, wynikającej z art. 17 § 1 i 2 </w:t>
      </w:r>
      <w:proofErr w:type="spellStart"/>
      <w:r w:rsidRPr="00AE4F00">
        <w:rPr>
          <w:rFonts w:ascii="Times New Roman" w:hAnsi="Times New Roman"/>
          <w:i/>
          <w:sz w:val="24"/>
          <w:szCs w:val="24"/>
        </w:rPr>
        <w:t>k.s.h</w:t>
      </w:r>
      <w:proofErr w:type="spellEnd"/>
      <w:r w:rsidRPr="00AE4F00">
        <w:rPr>
          <w:rFonts w:ascii="Times New Roman" w:hAnsi="Times New Roman"/>
          <w:i/>
          <w:sz w:val="24"/>
          <w:szCs w:val="24"/>
        </w:rPr>
        <w:t>. Chodzi tu więc o wadliwość taką, jak określona w art. 39 k.c., zbieżną co do istoty z wadliwością występującą w razie zawarcia umowy przez rzekomego pełnomocnika (art. 103 § 1 i 2 k.c.).</w:t>
      </w:r>
    </w:p>
    <w:p w14:paraId="3850ED40" w14:textId="77777777" w:rsidR="003B2F89" w:rsidRPr="003C3C34" w:rsidRDefault="003B2F89" w:rsidP="003B2F89">
      <w:pPr>
        <w:spacing w:before="80" w:after="80"/>
        <w:jc w:val="both"/>
        <w:rPr>
          <w:rFonts w:ascii="Times New Roman" w:hAnsi="Times New Roman"/>
          <w:i/>
          <w:sz w:val="24"/>
          <w:szCs w:val="24"/>
        </w:rPr>
      </w:pPr>
      <w:r w:rsidRPr="00AE4F00">
        <w:rPr>
          <w:rFonts w:ascii="Times New Roman" w:hAnsi="Times New Roman"/>
          <w:i/>
          <w:sz w:val="24"/>
          <w:szCs w:val="24"/>
        </w:rPr>
        <w:t xml:space="preserve">3. W razie udzielenia z naruszeniem art. 15 § 1 </w:t>
      </w:r>
      <w:proofErr w:type="spellStart"/>
      <w:r w:rsidRPr="00AE4F00">
        <w:rPr>
          <w:rFonts w:ascii="Times New Roman" w:hAnsi="Times New Roman"/>
          <w:i/>
          <w:sz w:val="24"/>
          <w:szCs w:val="24"/>
        </w:rPr>
        <w:t>k.s.h</w:t>
      </w:r>
      <w:proofErr w:type="spellEnd"/>
      <w:r w:rsidRPr="00AE4F00">
        <w:rPr>
          <w:rFonts w:ascii="Times New Roman" w:hAnsi="Times New Roman"/>
          <w:i/>
          <w:sz w:val="24"/>
          <w:szCs w:val="24"/>
        </w:rPr>
        <w:t>. poręczenia wekslowego przez spółkę kapitałową środkiem ochrony bezpieczeństwa obrotu wekslowego jest jedynie art. 8 Prawa wekslowego.</w:t>
      </w:r>
      <w:r>
        <w:rPr>
          <w:rFonts w:ascii="Times New Roman" w:hAnsi="Times New Roman"/>
          <w:i/>
          <w:sz w:val="24"/>
          <w:szCs w:val="24"/>
        </w:rPr>
        <w:t>”</w:t>
      </w:r>
    </w:p>
    <w:p w14:paraId="13AA6F45" w14:textId="77777777" w:rsidR="003B2F89" w:rsidRDefault="003B2F89" w:rsidP="003B2F89">
      <w:pPr>
        <w:spacing w:before="80" w:after="80"/>
        <w:jc w:val="both"/>
        <w:rPr>
          <w:rFonts w:ascii="Times New Roman" w:hAnsi="Times New Roman"/>
          <w:sz w:val="24"/>
          <w:szCs w:val="24"/>
        </w:rPr>
      </w:pPr>
    </w:p>
    <w:p w14:paraId="0C7B5454" w14:textId="77777777" w:rsidR="003B2F89" w:rsidRPr="00A24B50" w:rsidRDefault="00500366" w:rsidP="003B2F89">
      <w:pPr>
        <w:spacing w:before="80" w:after="80"/>
        <w:jc w:val="both"/>
        <w:rPr>
          <w:rFonts w:ascii="Times New Roman" w:hAnsi="Times New Roman"/>
          <w:b/>
          <w:sz w:val="24"/>
          <w:szCs w:val="24"/>
        </w:rPr>
      </w:pPr>
      <w:r>
        <w:rPr>
          <w:rFonts w:ascii="Times New Roman" w:hAnsi="Times New Roman"/>
          <w:b/>
          <w:sz w:val="24"/>
          <w:szCs w:val="24"/>
        </w:rPr>
        <w:t>Kazus 4</w:t>
      </w:r>
      <w:r w:rsidR="003B2F89" w:rsidRPr="00A24B50">
        <w:rPr>
          <w:rFonts w:ascii="Times New Roman" w:hAnsi="Times New Roman"/>
          <w:b/>
          <w:sz w:val="24"/>
          <w:szCs w:val="24"/>
        </w:rPr>
        <w:t xml:space="preserve"> </w:t>
      </w:r>
    </w:p>
    <w:p w14:paraId="725EDF13" w14:textId="20E69E27"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Umowa X-spółki z o.o. przewiduje, że</w:t>
      </w:r>
      <w:r w:rsidR="005F0FA9">
        <w:rPr>
          <w:rFonts w:ascii="Times New Roman" w:hAnsi="Times New Roman"/>
          <w:sz w:val="24"/>
          <w:szCs w:val="24"/>
        </w:rPr>
        <w:t xml:space="preserve"> dla nabycia i zbycia</w:t>
      </w:r>
      <w:r>
        <w:rPr>
          <w:rFonts w:ascii="Times New Roman" w:hAnsi="Times New Roman"/>
          <w:sz w:val="24"/>
          <w:szCs w:val="24"/>
        </w:rPr>
        <w:t xml:space="preserve"> nieruchomości oraz użytkowania wieczystego lub udziału w nieruchomości konieczna jest zgoda rady nadzorczej. W dniu 25 </w:t>
      </w:r>
      <w:r>
        <w:rPr>
          <w:rFonts w:ascii="Times New Roman" w:hAnsi="Times New Roman"/>
          <w:sz w:val="24"/>
          <w:szCs w:val="24"/>
        </w:rPr>
        <w:lastRenderedPageBreak/>
        <w:t xml:space="preserve">czerwca 2014 r. zarząd X-spółki z o.o. w składzie Adam F, Olga H. i Karol P., podjął uchwałę o sprzedaży należącej do spółki z o.o. nieruchomości ABC spółce z o.o. Wspólniczką większościową tej spółki a zarazem prezesem jej zarządu jest Janina O., długoletnia partnerka życiowa Adama F. W dniu 30 czerwca </w:t>
      </w:r>
      <w:r w:rsidR="000A3B1D">
        <w:rPr>
          <w:rFonts w:ascii="Times New Roman" w:hAnsi="Times New Roman"/>
          <w:sz w:val="24"/>
          <w:szCs w:val="24"/>
        </w:rPr>
        <w:t>2023</w:t>
      </w:r>
      <w:r>
        <w:rPr>
          <w:rFonts w:ascii="Times New Roman" w:hAnsi="Times New Roman"/>
          <w:sz w:val="24"/>
          <w:szCs w:val="24"/>
        </w:rPr>
        <w:t xml:space="preserve">r. członkowie zarządu X-spółki, Adam F. i Olga H., zawarli, w formie aktu notarialnego, umowę przedwstępną dotyczącą zbycia przedmiotowej nieruchomości spółce ABC, reprezentowanej przez prokurenta Piotra J. Do zawarcia umowy przyrzeczonej doszło w dniu 30 września </w:t>
      </w:r>
      <w:r w:rsidR="000A3B1D">
        <w:rPr>
          <w:rFonts w:ascii="Times New Roman" w:hAnsi="Times New Roman"/>
          <w:sz w:val="24"/>
          <w:szCs w:val="24"/>
        </w:rPr>
        <w:t>2023</w:t>
      </w:r>
      <w:r>
        <w:rPr>
          <w:rFonts w:ascii="Times New Roman" w:hAnsi="Times New Roman"/>
          <w:sz w:val="24"/>
          <w:szCs w:val="24"/>
        </w:rPr>
        <w:t xml:space="preserve"> r. Rada nadzorcza udzieliła zgodę na sprzedaż nieruchomości 15 grudnia </w:t>
      </w:r>
      <w:r w:rsidR="000A3B1D">
        <w:rPr>
          <w:rFonts w:ascii="Times New Roman" w:hAnsi="Times New Roman"/>
          <w:sz w:val="24"/>
          <w:szCs w:val="24"/>
        </w:rPr>
        <w:t>2023</w:t>
      </w:r>
      <w:r>
        <w:rPr>
          <w:rFonts w:ascii="Times New Roman" w:hAnsi="Times New Roman"/>
          <w:sz w:val="24"/>
          <w:szCs w:val="24"/>
        </w:rPr>
        <w:t xml:space="preserve">r. </w:t>
      </w:r>
    </w:p>
    <w:p w14:paraId="3CA0BD76" w14:textId="77777777"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 xml:space="preserve">Mniejszościowy wspólnik X spółki z o.o., Antoni B., twierdzi że zarówno umowa przedwstępna, jak i umowa sprzedaży nieruchomości były nieważne ze względu na: </w:t>
      </w:r>
    </w:p>
    <w:p w14:paraId="7D911E85" w14:textId="77777777"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 xml:space="preserve">- działanie Adama F. w warunkach konfliktu interesów i naruszenie art. 209 </w:t>
      </w:r>
      <w:proofErr w:type="spellStart"/>
      <w:r>
        <w:rPr>
          <w:rFonts w:ascii="Times New Roman" w:hAnsi="Times New Roman"/>
          <w:sz w:val="24"/>
          <w:szCs w:val="24"/>
        </w:rPr>
        <w:t>k.s.h</w:t>
      </w:r>
      <w:proofErr w:type="spellEnd"/>
      <w:r>
        <w:rPr>
          <w:rFonts w:ascii="Times New Roman" w:hAnsi="Times New Roman"/>
          <w:sz w:val="24"/>
          <w:szCs w:val="24"/>
        </w:rPr>
        <w:t>.,</w:t>
      </w:r>
    </w:p>
    <w:p w14:paraId="434CDF89" w14:textId="77777777"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 xml:space="preserve">- brak zgody zgromadzenia wspólników na każdą z tych umów, </w:t>
      </w:r>
    </w:p>
    <w:p w14:paraId="77285120" w14:textId="77777777"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 xml:space="preserve">- udzielenie przez radę nadzorczą spółki zgody po terminie określonym w art. 17 § 2 </w:t>
      </w:r>
      <w:proofErr w:type="spellStart"/>
      <w:r>
        <w:rPr>
          <w:rFonts w:ascii="Times New Roman" w:hAnsi="Times New Roman"/>
          <w:sz w:val="24"/>
          <w:szCs w:val="24"/>
        </w:rPr>
        <w:t>k.s.h</w:t>
      </w:r>
      <w:proofErr w:type="spellEnd"/>
      <w:r>
        <w:rPr>
          <w:rFonts w:ascii="Times New Roman" w:hAnsi="Times New Roman"/>
          <w:sz w:val="24"/>
          <w:szCs w:val="24"/>
        </w:rPr>
        <w:t xml:space="preserve">. </w:t>
      </w:r>
    </w:p>
    <w:p w14:paraId="60BD27F7" w14:textId="77777777"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 xml:space="preserve">Oceń stan prawny. </w:t>
      </w:r>
    </w:p>
    <w:p w14:paraId="53B32BEF" w14:textId="77777777" w:rsidR="003B2F89" w:rsidRDefault="003B2F89" w:rsidP="003B2F89">
      <w:pPr>
        <w:spacing w:before="80" w:after="80"/>
        <w:jc w:val="both"/>
        <w:rPr>
          <w:rFonts w:ascii="Times New Roman" w:hAnsi="Times New Roman"/>
          <w:sz w:val="24"/>
          <w:szCs w:val="24"/>
        </w:rPr>
      </w:pPr>
    </w:p>
    <w:p w14:paraId="1BA95DAC" w14:textId="77777777" w:rsidR="003B2F89" w:rsidRDefault="003B2F89" w:rsidP="003B2F89">
      <w:pPr>
        <w:spacing w:before="80" w:after="80"/>
        <w:jc w:val="both"/>
        <w:rPr>
          <w:rFonts w:ascii="Times New Roman" w:hAnsi="Times New Roman"/>
          <w:i/>
          <w:sz w:val="24"/>
          <w:szCs w:val="24"/>
        </w:rPr>
      </w:pPr>
      <w:r>
        <w:rPr>
          <w:rFonts w:ascii="Times New Roman" w:hAnsi="Times New Roman"/>
          <w:i/>
          <w:sz w:val="24"/>
          <w:szCs w:val="24"/>
        </w:rPr>
        <w:t>Zob.:</w:t>
      </w:r>
    </w:p>
    <w:p w14:paraId="4B7B4DE6" w14:textId="77777777" w:rsidR="003B2F89" w:rsidRDefault="003B2F89" w:rsidP="003B2F89">
      <w:pPr>
        <w:spacing w:before="80" w:after="80"/>
        <w:jc w:val="both"/>
        <w:rPr>
          <w:rFonts w:ascii="Times New Roman" w:hAnsi="Times New Roman"/>
          <w:i/>
          <w:sz w:val="24"/>
          <w:szCs w:val="24"/>
        </w:rPr>
      </w:pPr>
      <w:r>
        <w:rPr>
          <w:rFonts w:ascii="Times New Roman" w:hAnsi="Times New Roman"/>
          <w:i/>
          <w:sz w:val="24"/>
          <w:szCs w:val="24"/>
        </w:rPr>
        <w:t xml:space="preserve">- </w:t>
      </w:r>
      <w:r w:rsidRPr="002C0437">
        <w:rPr>
          <w:rFonts w:ascii="Times New Roman" w:hAnsi="Times New Roman"/>
          <w:b/>
          <w:i/>
          <w:sz w:val="24"/>
          <w:szCs w:val="24"/>
        </w:rPr>
        <w:t>wyrok SN z 11 stycznia 2002 r. (IV CKN 1903/00):</w:t>
      </w:r>
      <w:r>
        <w:rPr>
          <w:rFonts w:ascii="Times New Roman" w:hAnsi="Times New Roman"/>
          <w:i/>
          <w:sz w:val="24"/>
          <w:szCs w:val="24"/>
        </w:rPr>
        <w:t xml:space="preserve"> „</w:t>
      </w:r>
      <w:r w:rsidRPr="00122E9A">
        <w:rPr>
          <w:rFonts w:ascii="Times New Roman" w:hAnsi="Times New Roman"/>
          <w:i/>
          <w:sz w:val="24"/>
          <w:szCs w:val="24"/>
        </w:rPr>
        <w:t>Umowa zawarta przez członka zarządu spółki z ograniczoną odpowiedzialnością z naruszeniem nakazu określonego w art. 202 k.h. nie jest nieważna.</w:t>
      </w:r>
      <w:r>
        <w:rPr>
          <w:rFonts w:ascii="Times New Roman" w:hAnsi="Times New Roman"/>
          <w:i/>
          <w:sz w:val="24"/>
          <w:szCs w:val="24"/>
        </w:rPr>
        <w:t>” Z uzasadnienia: „</w:t>
      </w:r>
      <w:r w:rsidRPr="002C0437">
        <w:rPr>
          <w:rFonts w:ascii="Times New Roman" w:hAnsi="Times New Roman"/>
          <w:i/>
          <w:sz w:val="24"/>
          <w:szCs w:val="24"/>
        </w:rPr>
        <w:t>Wprowadzenie instytucji dobrowolnego wstrzymania się od uczestnictwa w rozstrzyganiu pewnego rodzaju spraw zmierza do zapewnienia bezpieczeństwa i pewności obrotu i jest wyrazem troski o rzetelność interesów spółki, a także wspólników. Obdarzony ich zaufaniem członek zarządu - stojąc w obliczu kolizji interesów wskazanych w omawianym przepisie – powinien zachować uczciwość i lojalność wobec spółki i wspólników, nawet zatem sama możliwość kolizji interesów przemawia za zachowaniem się w sposób nakazany w art. 202 k.h. Dochowanie tej procedury eliminuje podejrzenia o stronniczość i zarzuty kierowane w stosunku do członka zarządu przez osoby trzecie bądź wspólników.</w:t>
      </w:r>
      <w:r>
        <w:rPr>
          <w:rFonts w:ascii="Times New Roman" w:hAnsi="Times New Roman"/>
          <w:i/>
          <w:sz w:val="24"/>
          <w:szCs w:val="24"/>
        </w:rPr>
        <w:t xml:space="preserve"> (…) </w:t>
      </w:r>
      <w:r w:rsidRPr="00F03572">
        <w:rPr>
          <w:rFonts w:ascii="Times New Roman" w:hAnsi="Times New Roman"/>
          <w:i/>
          <w:sz w:val="24"/>
          <w:szCs w:val="24"/>
        </w:rPr>
        <w:t xml:space="preserve">Powstrzymanie się od podejmowania decyzji pozwala członkowi zarządu uzyskać pozycję osoby bezstronnej i wiarygodnej w prowadzeniu spraw spółki, jednakże zawarcie umowy wbrew zakazowi zawartemu w art. 202 k.h. nie powoduje jej nieważności; </w:t>
      </w:r>
      <w:r>
        <w:rPr>
          <w:rFonts w:ascii="Times New Roman" w:hAnsi="Times New Roman"/>
          <w:i/>
          <w:sz w:val="24"/>
          <w:szCs w:val="24"/>
        </w:rPr>
        <w:t>dokonana czynność wiąże spółkę.”</w:t>
      </w:r>
    </w:p>
    <w:p w14:paraId="54685628" w14:textId="77777777" w:rsidR="003B2F89" w:rsidRDefault="003B2F89" w:rsidP="003B2F89">
      <w:pPr>
        <w:spacing w:before="80" w:after="80"/>
        <w:jc w:val="both"/>
        <w:rPr>
          <w:rFonts w:ascii="Times New Roman" w:hAnsi="Times New Roman"/>
          <w:i/>
          <w:sz w:val="24"/>
          <w:szCs w:val="24"/>
        </w:rPr>
      </w:pPr>
      <w:r>
        <w:rPr>
          <w:rFonts w:ascii="Times New Roman" w:hAnsi="Times New Roman"/>
          <w:i/>
          <w:sz w:val="24"/>
          <w:szCs w:val="24"/>
        </w:rPr>
        <w:t xml:space="preserve">- </w:t>
      </w:r>
      <w:r>
        <w:rPr>
          <w:rFonts w:ascii="Times New Roman" w:hAnsi="Times New Roman"/>
          <w:b/>
          <w:i/>
          <w:sz w:val="24"/>
          <w:szCs w:val="24"/>
        </w:rPr>
        <w:t xml:space="preserve">wyrok SN z </w:t>
      </w:r>
      <w:r w:rsidRPr="00090950">
        <w:rPr>
          <w:rFonts w:ascii="Times New Roman" w:hAnsi="Times New Roman"/>
          <w:b/>
          <w:i/>
          <w:sz w:val="24"/>
          <w:szCs w:val="24"/>
        </w:rPr>
        <w:t>6 lutego 2009 r.</w:t>
      </w:r>
      <w:r>
        <w:rPr>
          <w:rFonts w:ascii="Times New Roman" w:hAnsi="Times New Roman"/>
          <w:b/>
          <w:i/>
          <w:sz w:val="24"/>
          <w:szCs w:val="24"/>
        </w:rPr>
        <w:t xml:space="preserve"> (</w:t>
      </w:r>
      <w:r w:rsidRPr="00090950">
        <w:rPr>
          <w:rFonts w:ascii="Times New Roman" w:hAnsi="Times New Roman"/>
          <w:b/>
          <w:i/>
          <w:sz w:val="24"/>
          <w:szCs w:val="24"/>
        </w:rPr>
        <w:t>IV CSK 271/08</w:t>
      </w:r>
      <w:r>
        <w:rPr>
          <w:rFonts w:ascii="Times New Roman" w:hAnsi="Times New Roman"/>
          <w:b/>
          <w:i/>
          <w:sz w:val="24"/>
          <w:szCs w:val="24"/>
        </w:rPr>
        <w:t>): „</w:t>
      </w:r>
      <w:r w:rsidRPr="007117CF">
        <w:rPr>
          <w:rFonts w:ascii="Times New Roman" w:hAnsi="Times New Roman"/>
          <w:i/>
          <w:sz w:val="24"/>
          <w:szCs w:val="24"/>
        </w:rPr>
        <w:t xml:space="preserve">2. Według ścisłej (literalnej) wykładni art. 393 pkt 4 </w:t>
      </w:r>
      <w:proofErr w:type="spellStart"/>
      <w:r w:rsidRPr="007117CF">
        <w:rPr>
          <w:rFonts w:ascii="Times New Roman" w:hAnsi="Times New Roman"/>
          <w:i/>
          <w:sz w:val="24"/>
          <w:szCs w:val="24"/>
        </w:rPr>
        <w:t>k.s.h</w:t>
      </w:r>
      <w:proofErr w:type="spellEnd"/>
      <w:r w:rsidRPr="007117CF">
        <w:rPr>
          <w:rFonts w:ascii="Times New Roman" w:hAnsi="Times New Roman"/>
          <w:i/>
          <w:sz w:val="24"/>
          <w:szCs w:val="24"/>
        </w:rPr>
        <w:t xml:space="preserve">., w przepisie tym jednoznacznie mówi się o "nabyciu", zatem o skutku rozporządzającym. Ograniczanie zarządu w prawie do reprezentacji, przez wymaganie uzyskania zgody w postaci uchwały wspólników, ma charakter wyjątkowy. Znajduje tu zastosowanie zasada </w:t>
      </w:r>
      <w:proofErr w:type="spellStart"/>
      <w:r w:rsidRPr="007117CF">
        <w:rPr>
          <w:rFonts w:ascii="Times New Roman" w:hAnsi="Times New Roman"/>
          <w:i/>
          <w:sz w:val="24"/>
          <w:szCs w:val="24"/>
        </w:rPr>
        <w:t>exceptiones</w:t>
      </w:r>
      <w:proofErr w:type="spellEnd"/>
      <w:r w:rsidRPr="007117CF">
        <w:rPr>
          <w:rFonts w:ascii="Times New Roman" w:hAnsi="Times New Roman"/>
          <w:i/>
          <w:sz w:val="24"/>
          <w:szCs w:val="24"/>
        </w:rPr>
        <w:t xml:space="preserve"> non </w:t>
      </w:r>
      <w:proofErr w:type="spellStart"/>
      <w:r w:rsidRPr="007117CF">
        <w:rPr>
          <w:rFonts w:ascii="Times New Roman" w:hAnsi="Times New Roman"/>
          <w:i/>
          <w:sz w:val="24"/>
          <w:szCs w:val="24"/>
        </w:rPr>
        <w:t>sunt</w:t>
      </w:r>
      <w:proofErr w:type="spellEnd"/>
      <w:r w:rsidRPr="007117CF">
        <w:rPr>
          <w:rFonts w:ascii="Times New Roman" w:hAnsi="Times New Roman"/>
          <w:i/>
          <w:sz w:val="24"/>
          <w:szCs w:val="24"/>
        </w:rPr>
        <w:t xml:space="preserve"> </w:t>
      </w:r>
      <w:proofErr w:type="spellStart"/>
      <w:r w:rsidRPr="007117CF">
        <w:rPr>
          <w:rFonts w:ascii="Times New Roman" w:hAnsi="Times New Roman"/>
          <w:i/>
          <w:sz w:val="24"/>
          <w:szCs w:val="24"/>
        </w:rPr>
        <w:t>extendendae</w:t>
      </w:r>
      <w:proofErr w:type="spellEnd"/>
      <w:r w:rsidRPr="007117CF">
        <w:rPr>
          <w:rFonts w:ascii="Times New Roman" w:hAnsi="Times New Roman"/>
          <w:i/>
          <w:sz w:val="24"/>
          <w:szCs w:val="24"/>
        </w:rPr>
        <w:t>, która zabrania wymagania od zarządu, aby legitymował się zgodą zgromadzenia wspólników przy dokonywaniu jakichkolwiek działań niemających charakteru rozporządzenia prawem własności nieruchomości. Zgodnie z tą interpretacją zarówno wszczęcie przez zarząd negocjacji w sprawie nabycia nieruchomości (użytkowania wieczystego gruntu), jak i zawarcie umowy przedwstępnej nawet ze skutkiem dalej idącym (art. 390 § 2 k.c.) ale przecież nie prowadzące do nabycia własności nieruchomości, nie wymaga uchwały walnego zgromadzenia.</w:t>
      </w:r>
      <w:r>
        <w:rPr>
          <w:rFonts w:ascii="Times New Roman" w:hAnsi="Times New Roman"/>
          <w:i/>
          <w:sz w:val="24"/>
          <w:szCs w:val="24"/>
        </w:rPr>
        <w:t xml:space="preserve"> </w:t>
      </w:r>
      <w:r w:rsidRPr="007117CF">
        <w:rPr>
          <w:rFonts w:ascii="Times New Roman" w:hAnsi="Times New Roman"/>
          <w:i/>
          <w:sz w:val="24"/>
          <w:szCs w:val="24"/>
        </w:rPr>
        <w:t xml:space="preserve">3. </w:t>
      </w:r>
      <w:r w:rsidRPr="007117CF">
        <w:rPr>
          <w:rFonts w:ascii="Times New Roman" w:hAnsi="Times New Roman"/>
          <w:i/>
          <w:sz w:val="24"/>
          <w:szCs w:val="24"/>
        </w:rPr>
        <w:lastRenderedPageBreak/>
        <w:t xml:space="preserve">Przewidziany w art. 393 pkt 4 </w:t>
      </w:r>
      <w:proofErr w:type="spellStart"/>
      <w:r w:rsidRPr="007117CF">
        <w:rPr>
          <w:rFonts w:ascii="Times New Roman" w:hAnsi="Times New Roman"/>
          <w:i/>
          <w:sz w:val="24"/>
          <w:szCs w:val="24"/>
        </w:rPr>
        <w:t>k.s.h</w:t>
      </w:r>
      <w:proofErr w:type="spellEnd"/>
      <w:r w:rsidRPr="007117CF">
        <w:rPr>
          <w:rFonts w:ascii="Times New Roman" w:hAnsi="Times New Roman"/>
          <w:i/>
          <w:sz w:val="24"/>
          <w:szCs w:val="24"/>
        </w:rPr>
        <w:t xml:space="preserve">. (podobnie jak w art. 228 pkt 4 </w:t>
      </w:r>
      <w:proofErr w:type="spellStart"/>
      <w:r w:rsidRPr="007117CF">
        <w:rPr>
          <w:rFonts w:ascii="Times New Roman" w:hAnsi="Times New Roman"/>
          <w:i/>
          <w:sz w:val="24"/>
          <w:szCs w:val="24"/>
        </w:rPr>
        <w:t>k.s.h</w:t>
      </w:r>
      <w:proofErr w:type="spellEnd"/>
      <w:r w:rsidRPr="007117CF">
        <w:rPr>
          <w:rFonts w:ascii="Times New Roman" w:hAnsi="Times New Roman"/>
          <w:i/>
          <w:sz w:val="24"/>
          <w:szCs w:val="24"/>
        </w:rPr>
        <w:t>.) wymóg zgody walnego zgromadzenia (zgromadzenia wspólników) na nabycie przez spółkę nieruchomości nie ma charakteru absolutnego. Mogą go uchylić postanowienia statutu (umowy) spółki.</w:t>
      </w:r>
      <w:r>
        <w:rPr>
          <w:rFonts w:ascii="Times New Roman" w:hAnsi="Times New Roman"/>
          <w:i/>
          <w:sz w:val="24"/>
          <w:szCs w:val="24"/>
        </w:rPr>
        <w:t>”</w:t>
      </w:r>
    </w:p>
    <w:p w14:paraId="41BE220F" w14:textId="77777777" w:rsidR="003B2F89" w:rsidRDefault="003B2F89" w:rsidP="003B2F89">
      <w:pPr>
        <w:spacing w:before="80" w:after="80"/>
        <w:jc w:val="both"/>
        <w:rPr>
          <w:rFonts w:ascii="Times New Roman" w:hAnsi="Times New Roman"/>
          <w:i/>
          <w:sz w:val="24"/>
          <w:szCs w:val="24"/>
        </w:rPr>
      </w:pPr>
      <w:r>
        <w:rPr>
          <w:rFonts w:ascii="Times New Roman" w:hAnsi="Times New Roman"/>
          <w:i/>
          <w:sz w:val="24"/>
          <w:szCs w:val="24"/>
        </w:rPr>
        <w:t>Z uzasadnienia: „</w:t>
      </w:r>
      <w:r w:rsidRPr="004E458B">
        <w:rPr>
          <w:rFonts w:ascii="Times New Roman" w:hAnsi="Times New Roman"/>
          <w:i/>
          <w:sz w:val="24"/>
          <w:szCs w:val="24"/>
        </w:rPr>
        <w:t xml:space="preserve">Choć w piśmiennictwie sporny jest charakter prawny sankcji wynikającej z art. 17 </w:t>
      </w:r>
      <w:proofErr w:type="spellStart"/>
      <w:r w:rsidRPr="004E458B">
        <w:rPr>
          <w:rFonts w:ascii="Times New Roman" w:hAnsi="Times New Roman"/>
          <w:i/>
          <w:sz w:val="24"/>
          <w:szCs w:val="24"/>
        </w:rPr>
        <w:t>k.s.h</w:t>
      </w:r>
      <w:proofErr w:type="spellEnd"/>
      <w:r w:rsidRPr="004E458B">
        <w:rPr>
          <w:rFonts w:ascii="Times New Roman" w:hAnsi="Times New Roman"/>
          <w:i/>
          <w:sz w:val="24"/>
          <w:szCs w:val="24"/>
        </w:rPr>
        <w:t>., istotne jest umożliwienie wyrażenia przez wspólników zgody ex post. Sprawia to, że nieistotne jest, czy w chwili dokonywania czynności prawnej, nawet będącej wprost rozporządzeniem prawem, zarząd dysponuje stosowną zgodą wspólników. W tej chwili bowiem czynność taka jest ważna i dopuszczalna, a dopiero upływ dwóch miesięcy od jej dokonania i brak w tym czasie zgody uczyni z niej czynność bezwzględnie nieważną (por. też uchwałę Sądu Najwyższego z dnia 14 września 2007 r., III CZP 31/07, OSNC 2008/2/14). W konsekwencji nie można wymagać od zarządu okazywania zgody wspólników na nabycie prawa w chwili dokonywania czynności, a tym bardziej w chwili przystępowania do działań, które dopiero mogą doprowadzić do takiego nabycia.</w:t>
      </w:r>
      <w:r>
        <w:rPr>
          <w:rFonts w:ascii="Times New Roman" w:hAnsi="Times New Roman"/>
          <w:i/>
          <w:sz w:val="24"/>
          <w:szCs w:val="24"/>
        </w:rPr>
        <w:t xml:space="preserve"> (…)</w:t>
      </w:r>
    </w:p>
    <w:p w14:paraId="362D7802" w14:textId="77777777" w:rsidR="003B2F89" w:rsidRDefault="003B2F89" w:rsidP="003B2F89">
      <w:pPr>
        <w:spacing w:before="80" w:after="80"/>
        <w:jc w:val="both"/>
        <w:rPr>
          <w:rFonts w:ascii="Times New Roman" w:hAnsi="Times New Roman"/>
          <w:i/>
          <w:sz w:val="24"/>
          <w:szCs w:val="24"/>
        </w:rPr>
      </w:pPr>
      <w:r w:rsidRPr="004E458B">
        <w:rPr>
          <w:rFonts w:ascii="Times New Roman" w:hAnsi="Times New Roman"/>
          <w:i/>
          <w:sz w:val="24"/>
          <w:szCs w:val="24"/>
        </w:rPr>
        <w:t xml:space="preserve">Statut powodowej spółki zastrzegł wyrażenie zgody na nabycie nieruchomości do kompetencji rady nadzorczej a zatem innego organu w strukturze wewnętrznej spółki. Są to inne postanowienia statutu w odniesieniu do względnie obowiązującej normy art. 393 pkt 4 </w:t>
      </w:r>
      <w:proofErr w:type="spellStart"/>
      <w:r w:rsidRPr="004E458B">
        <w:rPr>
          <w:rFonts w:ascii="Times New Roman" w:hAnsi="Times New Roman"/>
          <w:i/>
          <w:sz w:val="24"/>
          <w:szCs w:val="24"/>
        </w:rPr>
        <w:t>k.s.h</w:t>
      </w:r>
      <w:proofErr w:type="spellEnd"/>
      <w:r w:rsidRPr="004E458B">
        <w:rPr>
          <w:rFonts w:ascii="Times New Roman" w:hAnsi="Times New Roman"/>
          <w:i/>
          <w:sz w:val="24"/>
          <w:szCs w:val="24"/>
        </w:rPr>
        <w:t>., które uchyliły obowiązek uzyskania przez zarząd spółki zgody walnego zgromadzenia na nabycie nieruchomości. Bezsporne jest natomiast, że powodowa spółka dysponowała wymaganą statutem, zgodą rady nadzorczej na nabycie nieruchomości.</w:t>
      </w:r>
      <w:r>
        <w:rPr>
          <w:rFonts w:ascii="Times New Roman" w:hAnsi="Times New Roman"/>
          <w:i/>
          <w:sz w:val="24"/>
          <w:szCs w:val="24"/>
        </w:rPr>
        <w:t>”</w:t>
      </w:r>
    </w:p>
    <w:p w14:paraId="0961C769" w14:textId="77777777" w:rsidR="003B2F89" w:rsidRPr="00FE4C66" w:rsidRDefault="003B2F89" w:rsidP="003B2F89">
      <w:pPr>
        <w:spacing w:before="80" w:after="80"/>
        <w:jc w:val="both"/>
        <w:rPr>
          <w:rFonts w:ascii="Times New Roman" w:hAnsi="Times New Roman"/>
          <w:b/>
          <w:i/>
          <w:sz w:val="24"/>
          <w:szCs w:val="24"/>
        </w:rPr>
      </w:pPr>
      <w:r>
        <w:rPr>
          <w:rFonts w:ascii="Times New Roman" w:hAnsi="Times New Roman"/>
          <w:i/>
          <w:sz w:val="24"/>
          <w:szCs w:val="24"/>
        </w:rPr>
        <w:t xml:space="preserve">- </w:t>
      </w:r>
      <w:r w:rsidRPr="00FE4C66">
        <w:rPr>
          <w:rFonts w:ascii="Times New Roman" w:hAnsi="Times New Roman"/>
          <w:b/>
          <w:i/>
          <w:sz w:val="24"/>
          <w:szCs w:val="24"/>
        </w:rPr>
        <w:t>uchwała SN z 21 lutego 2008 r. (III CZP 137/07):</w:t>
      </w:r>
      <w:r>
        <w:rPr>
          <w:rFonts w:ascii="Times New Roman" w:hAnsi="Times New Roman"/>
          <w:i/>
          <w:sz w:val="24"/>
          <w:szCs w:val="24"/>
        </w:rPr>
        <w:t xml:space="preserve"> „</w:t>
      </w:r>
      <w:r w:rsidRPr="00246A0E">
        <w:rPr>
          <w:rFonts w:ascii="Times New Roman" w:hAnsi="Times New Roman"/>
          <w:i/>
          <w:sz w:val="24"/>
          <w:szCs w:val="24"/>
        </w:rPr>
        <w:t>Dopuszczalne jest udzielenie przybicia własności nieruchomości (użytkowania wieczystego) na rzecz spółki z ograniczoną odpowiedzialnością, bez uchwały wspólników wyrażającej zgodę na nabycie nieruchomości (użytkowania wieczystego), w sytuacji gdy umowa spółki nie wyłącza konieczności uzyskania takiej zgody oraz gdy przed wydaniem postanowienia o przybiciu zarząd spółki złożył oświadczenie o braku zamiaru wyrażenia zgody przez wspólników.</w:t>
      </w:r>
      <w:r>
        <w:rPr>
          <w:rFonts w:ascii="Times New Roman" w:hAnsi="Times New Roman"/>
          <w:i/>
          <w:sz w:val="24"/>
          <w:szCs w:val="24"/>
        </w:rPr>
        <w:t>”</w:t>
      </w:r>
    </w:p>
    <w:p w14:paraId="072BC317" w14:textId="77777777" w:rsidR="003B2F89" w:rsidRDefault="003B2F89" w:rsidP="003B2F89">
      <w:pPr>
        <w:spacing w:before="80" w:after="80"/>
        <w:jc w:val="both"/>
        <w:rPr>
          <w:rFonts w:ascii="Times New Roman" w:hAnsi="Times New Roman"/>
          <w:i/>
          <w:sz w:val="24"/>
          <w:szCs w:val="24"/>
        </w:rPr>
      </w:pPr>
      <w:r>
        <w:rPr>
          <w:rFonts w:ascii="Times New Roman" w:hAnsi="Times New Roman"/>
          <w:i/>
          <w:sz w:val="24"/>
          <w:szCs w:val="24"/>
        </w:rPr>
        <w:t>Z uzasadnienia: „</w:t>
      </w:r>
      <w:r w:rsidRPr="00390C50">
        <w:rPr>
          <w:rFonts w:ascii="Times New Roman" w:hAnsi="Times New Roman"/>
          <w:i/>
          <w:sz w:val="24"/>
          <w:szCs w:val="24"/>
        </w:rPr>
        <w:t xml:space="preserve">Wykładnia art. 987 i 991 k.p.c. prowadzi do wniosku, że udzielenie przybicia nie oznacza nabycia własności nieruchomości (prawa użytkowania wieczystego gruntu), zatem w chwili wydawania przez sąd postanowienia o udzieleniu przybicia na rzecz spółki z ograniczoną odpowiedzialnością nie jest konieczna uchwała wspólników wyrażająca zgodę na takie nabycie (art. 228 pkt 4 </w:t>
      </w:r>
      <w:proofErr w:type="spellStart"/>
      <w:r w:rsidRPr="00390C50">
        <w:rPr>
          <w:rFonts w:ascii="Times New Roman" w:hAnsi="Times New Roman"/>
          <w:i/>
          <w:sz w:val="24"/>
          <w:szCs w:val="24"/>
        </w:rPr>
        <w:t>k.s.h</w:t>
      </w:r>
      <w:proofErr w:type="spellEnd"/>
      <w:r w:rsidRPr="00390C50">
        <w:rPr>
          <w:rFonts w:ascii="Times New Roman" w:hAnsi="Times New Roman"/>
          <w:i/>
          <w:sz w:val="24"/>
          <w:szCs w:val="24"/>
        </w:rPr>
        <w:t>.).</w:t>
      </w:r>
      <w:r>
        <w:rPr>
          <w:rFonts w:ascii="Times New Roman" w:hAnsi="Times New Roman"/>
          <w:i/>
          <w:sz w:val="24"/>
          <w:szCs w:val="24"/>
        </w:rPr>
        <w:t>”</w:t>
      </w:r>
      <w:r w:rsidRPr="00390C50">
        <w:rPr>
          <w:rFonts w:ascii="Times New Roman" w:hAnsi="Times New Roman"/>
          <w:i/>
          <w:sz w:val="24"/>
          <w:szCs w:val="24"/>
        </w:rPr>
        <w:t xml:space="preserve"> </w:t>
      </w:r>
    </w:p>
    <w:p w14:paraId="34E808D2" w14:textId="77777777" w:rsidR="003B2F89" w:rsidRDefault="003B2F89" w:rsidP="003B2F89">
      <w:pPr>
        <w:spacing w:before="80" w:after="80"/>
        <w:jc w:val="both"/>
        <w:rPr>
          <w:rFonts w:ascii="Times New Roman" w:hAnsi="Times New Roman"/>
          <w:i/>
          <w:sz w:val="24"/>
          <w:szCs w:val="24"/>
        </w:rPr>
      </w:pPr>
    </w:p>
    <w:p w14:paraId="44A7345C" w14:textId="77777777" w:rsidR="003B2F89" w:rsidRPr="00864A68" w:rsidRDefault="00500366" w:rsidP="003B2F89">
      <w:pPr>
        <w:spacing w:before="80" w:after="80"/>
        <w:jc w:val="both"/>
        <w:rPr>
          <w:rFonts w:ascii="Times New Roman" w:hAnsi="Times New Roman"/>
          <w:b/>
          <w:sz w:val="24"/>
          <w:szCs w:val="24"/>
        </w:rPr>
      </w:pPr>
      <w:r>
        <w:rPr>
          <w:rFonts w:ascii="Times New Roman" w:hAnsi="Times New Roman"/>
          <w:b/>
          <w:sz w:val="24"/>
          <w:szCs w:val="24"/>
        </w:rPr>
        <w:t>Kazus 5</w:t>
      </w:r>
      <w:r w:rsidR="003B2F89" w:rsidRPr="00864A68">
        <w:rPr>
          <w:rFonts w:ascii="Times New Roman" w:hAnsi="Times New Roman"/>
          <w:b/>
          <w:sz w:val="24"/>
          <w:szCs w:val="24"/>
        </w:rPr>
        <w:t xml:space="preserve"> </w:t>
      </w:r>
    </w:p>
    <w:p w14:paraId="5D907F9E" w14:textId="0DB4F131" w:rsidR="003B2F89" w:rsidRDefault="003B2F89" w:rsidP="003B2F89">
      <w:pPr>
        <w:spacing w:before="80" w:after="80"/>
        <w:jc w:val="both"/>
        <w:rPr>
          <w:rFonts w:ascii="Times New Roman" w:hAnsi="Times New Roman"/>
          <w:sz w:val="24"/>
          <w:szCs w:val="24"/>
        </w:rPr>
      </w:pPr>
      <w:r w:rsidRPr="00EA36F2">
        <w:rPr>
          <w:rFonts w:ascii="Times New Roman" w:hAnsi="Times New Roman"/>
          <w:sz w:val="24"/>
          <w:szCs w:val="24"/>
        </w:rPr>
        <w:t xml:space="preserve">Umowa spółki z o.o. </w:t>
      </w:r>
      <w:r>
        <w:rPr>
          <w:rFonts w:ascii="Times New Roman" w:hAnsi="Times New Roman"/>
          <w:sz w:val="24"/>
          <w:szCs w:val="24"/>
        </w:rPr>
        <w:t xml:space="preserve">„Krakus” przewiduje, że zbycie udziałów wymaga zgody spółki wyrażonej w uchwale wspólników. Wspólnik Wacław K. (40% kapitału zakładowego), zamierzał sprzedać swoje udziały Alicji O. Zawiadomienie o zgromadzeniu wspólników zarząd wysłał wszystkim wspólnikom pocztą elektroniczną z tygodniowym wyprzedzeniem, podając w załączeniu porządek obrad i projekty uchwał. Zgromadzenie wspólników, które odbyło się w dniu 12 marca </w:t>
      </w:r>
      <w:r w:rsidR="000A3B1D">
        <w:rPr>
          <w:rFonts w:ascii="Times New Roman" w:hAnsi="Times New Roman"/>
          <w:sz w:val="24"/>
          <w:szCs w:val="24"/>
        </w:rPr>
        <w:t>2023</w:t>
      </w:r>
      <w:r>
        <w:rPr>
          <w:rFonts w:ascii="Times New Roman" w:hAnsi="Times New Roman"/>
          <w:sz w:val="24"/>
          <w:szCs w:val="24"/>
        </w:rPr>
        <w:t xml:space="preserve">r., podjęło uchwałę wyrażającą zgodę na zbycie udziałów przez Wacława K. W dniu 15 marca </w:t>
      </w:r>
      <w:r w:rsidR="000A3B1D">
        <w:rPr>
          <w:rFonts w:ascii="Times New Roman" w:hAnsi="Times New Roman"/>
          <w:sz w:val="24"/>
          <w:szCs w:val="24"/>
        </w:rPr>
        <w:t>2023</w:t>
      </w:r>
      <w:r w:rsidR="000A3B1D">
        <w:rPr>
          <w:rFonts w:ascii="Times New Roman" w:hAnsi="Times New Roman"/>
          <w:sz w:val="24"/>
          <w:szCs w:val="24"/>
        </w:rPr>
        <w:t xml:space="preserve"> </w:t>
      </w:r>
      <w:r>
        <w:rPr>
          <w:rFonts w:ascii="Times New Roman" w:hAnsi="Times New Roman"/>
          <w:sz w:val="24"/>
          <w:szCs w:val="24"/>
        </w:rPr>
        <w:t>została zawarta umowa</w:t>
      </w:r>
      <w:r w:rsidRPr="00377760">
        <w:rPr>
          <w:rFonts w:ascii="Times New Roman" w:hAnsi="Times New Roman"/>
          <w:sz w:val="24"/>
          <w:szCs w:val="24"/>
        </w:rPr>
        <w:t xml:space="preserve"> sprzedaży udziałów w formie pisemnej z podpi</w:t>
      </w:r>
      <w:r>
        <w:rPr>
          <w:rFonts w:ascii="Times New Roman" w:hAnsi="Times New Roman"/>
          <w:sz w:val="24"/>
          <w:szCs w:val="24"/>
        </w:rPr>
        <w:t xml:space="preserve">sami notarialnie poświadczonymi między Wacławem K. a Alicją O., która następnie została wpisana przez zarząd jako wspólniczka do księgi udziałów. Jednakże, w dniu 15 kwietnia </w:t>
      </w:r>
      <w:r w:rsidR="000A3B1D">
        <w:rPr>
          <w:rFonts w:ascii="Times New Roman" w:hAnsi="Times New Roman"/>
          <w:sz w:val="24"/>
          <w:szCs w:val="24"/>
        </w:rPr>
        <w:t>2023</w:t>
      </w:r>
      <w:r>
        <w:rPr>
          <w:rFonts w:ascii="Times New Roman" w:hAnsi="Times New Roman"/>
          <w:sz w:val="24"/>
          <w:szCs w:val="24"/>
        </w:rPr>
        <w:t xml:space="preserve"> r. uchwała ta została zaskarżona przez Antoniego H (20% kapitału </w:t>
      </w:r>
      <w:r>
        <w:rPr>
          <w:rFonts w:ascii="Times New Roman" w:hAnsi="Times New Roman"/>
          <w:sz w:val="24"/>
          <w:szCs w:val="24"/>
        </w:rPr>
        <w:lastRenderedPageBreak/>
        <w:t xml:space="preserve">zakładowego) powództwem o stwierdzenie jej nieważności z uzasadnieniem, że nie został on powiadomiony należycie o zgromadzeniu wspólników, gdyż nie wyraził pisemnej zgody na powiadomienie elektroniczne, i dlatego nie uczestniczył w nim. </w:t>
      </w:r>
    </w:p>
    <w:p w14:paraId="0B7CB435" w14:textId="65FD673F" w:rsidR="003B2F89" w:rsidRDefault="003B2F89" w:rsidP="003B2F89">
      <w:pPr>
        <w:spacing w:before="80" w:after="80"/>
        <w:jc w:val="both"/>
        <w:rPr>
          <w:rFonts w:ascii="Times New Roman" w:hAnsi="Times New Roman"/>
          <w:sz w:val="24"/>
          <w:szCs w:val="24"/>
        </w:rPr>
      </w:pPr>
      <w:r>
        <w:rPr>
          <w:rFonts w:ascii="Times New Roman" w:hAnsi="Times New Roman"/>
          <w:sz w:val="24"/>
          <w:szCs w:val="24"/>
        </w:rPr>
        <w:t xml:space="preserve">W dniu 10 czerwca </w:t>
      </w:r>
      <w:r w:rsidR="000A3B1D">
        <w:rPr>
          <w:rFonts w:ascii="Times New Roman" w:hAnsi="Times New Roman"/>
          <w:sz w:val="24"/>
          <w:szCs w:val="24"/>
        </w:rPr>
        <w:t>2023</w:t>
      </w:r>
      <w:r>
        <w:rPr>
          <w:rFonts w:ascii="Times New Roman" w:hAnsi="Times New Roman"/>
          <w:sz w:val="24"/>
          <w:szCs w:val="24"/>
        </w:rPr>
        <w:t xml:space="preserve">r. odbyło się zwyczajne zgromadzenie wspólników „Krakus” spółki z o.o., na którym m.in. została podjęta uchwała wyrażająca zgodę na zbycie nieruchomości należącej do spółki. Alicja O. głosowała za tą uchwałą, która została podjęta. W dniu 15.6.2010 r. zawarto notarialną umowę sprzedaży nieruchomości między spółką a Janem U. </w:t>
      </w:r>
    </w:p>
    <w:p w14:paraId="4A1A06A2" w14:textId="39949F50" w:rsidR="003B2F89" w:rsidRPr="00EA36F2" w:rsidRDefault="003B2F89" w:rsidP="003B2F89">
      <w:pPr>
        <w:spacing w:before="80" w:after="80"/>
        <w:jc w:val="both"/>
        <w:rPr>
          <w:rFonts w:ascii="Times New Roman" w:hAnsi="Times New Roman"/>
          <w:sz w:val="24"/>
          <w:szCs w:val="24"/>
        </w:rPr>
      </w:pPr>
      <w:r>
        <w:rPr>
          <w:rFonts w:ascii="Times New Roman" w:hAnsi="Times New Roman"/>
          <w:sz w:val="24"/>
          <w:szCs w:val="24"/>
        </w:rPr>
        <w:t>W dniu 20.6.</w:t>
      </w:r>
      <w:r w:rsidR="000A3B1D" w:rsidRPr="000A3B1D">
        <w:rPr>
          <w:rFonts w:ascii="Times New Roman" w:hAnsi="Times New Roman"/>
          <w:sz w:val="24"/>
          <w:szCs w:val="24"/>
        </w:rPr>
        <w:t xml:space="preserve"> </w:t>
      </w:r>
      <w:r w:rsidR="000A3B1D">
        <w:rPr>
          <w:rFonts w:ascii="Times New Roman" w:hAnsi="Times New Roman"/>
          <w:sz w:val="24"/>
          <w:szCs w:val="24"/>
        </w:rPr>
        <w:t>2023</w:t>
      </w:r>
      <w:r>
        <w:rPr>
          <w:rFonts w:ascii="Times New Roman" w:hAnsi="Times New Roman"/>
          <w:sz w:val="24"/>
          <w:szCs w:val="24"/>
        </w:rPr>
        <w:t xml:space="preserve">r. został wydany wyrok sądu okręgowego w Krakowie stwierdzający nieważność uchwały z dnia 12 marca </w:t>
      </w:r>
      <w:r w:rsidR="000A3B1D">
        <w:rPr>
          <w:rFonts w:ascii="Times New Roman" w:hAnsi="Times New Roman"/>
          <w:sz w:val="24"/>
          <w:szCs w:val="24"/>
        </w:rPr>
        <w:t>2023</w:t>
      </w:r>
      <w:r w:rsidR="000A3B1D">
        <w:rPr>
          <w:rFonts w:ascii="Times New Roman" w:hAnsi="Times New Roman"/>
          <w:sz w:val="24"/>
          <w:szCs w:val="24"/>
        </w:rPr>
        <w:t xml:space="preserve"> </w:t>
      </w:r>
      <w:r>
        <w:rPr>
          <w:rFonts w:ascii="Times New Roman" w:hAnsi="Times New Roman"/>
          <w:sz w:val="24"/>
          <w:szCs w:val="24"/>
        </w:rPr>
        <w:t xml:space="preserve">wyrażającej zgodę na sprzedaż udziałów przez Wacława K. Wyrok uprawomocnił się. </w:t>
      </w:r>
    </w:p>
    <w:p w14:paraId="637D433A" w14:textId="1F4FF6EA" w:rsidR="003B2F89" w:rsidRPr="004669E7" w:rsidRDefault="003B2F89" w:rsidP="003B2F89">
      <w:pPr>
        <w:spacing w:before="80" w:after="80"/>
        <w:jc w:val="both"/>
        <w:rPr>
          <w:rFonts w:ascii="Times New Roman" w:hAnsi="Times New Roman"/>
          <w:sz w:val="24"/>
          <w:szCs w:val="24"/>
        </w:rPr>
      </w:pPr>
      <w:r w:rsidRPr="00116F36">
        <w:rPr>
          <w:rFonts w:ascii="Times New Roman" w:hAnsi="Times New Roman"/>
          <w:sz w:val="24"/>
          <w:szCs w:val="24"/>
        </w:rPr>
        <w:t xml:space="preserve">Antoni H. twierdzi, że uchwały podjęte na zwyczajnym walnym zgromadzeniu w dniu </w:t>
      </w:r>
      <w:r>
        <w:rPr>
          <w:rFonts w:ascii="Times New Roman" w:hAnsi="Times New Roman"/>
          <w:sz w:val="24"/>
          <w:szCs w:val="24"/>
        </w:rPr>
        <w:t xml:space="preserve">10 czerwca </w:t>
      </w:r>
      <w:r w:rsidR="000A3B1D">
        <w:rPr>
          <w:rFonts w:ascii="Times New Roman" w:hAnsi="Times New Roman"/>
          <w:sz w:val="24"/>
          <w:szCs w:val="24"/>
        </w:rPr>
        <w:t>2023</w:t>
      </w:r>
      <w:r w:rsidR="000A3B1D">
        <w:rPr>
          <w:rFonts w:ascii="Times New Roman" w:hAnsi="Times New Roman"/>
          <w:sz w:val="24"/>
          <w:szCs w:val="24"/>
        </w:rPr>
        <w:t xml:space="preserve"> </w:t>
      </w:r>
      <w:r>
        <w:rPr>
          <w:rFonts w:ascii="Times New Roman" w:hAnsi="Times New Roman"/>
          <w:sz w:val="24"/>
          <w:szCs w:val="24"/>
        </w:rPr>
        <w:t xml:space="preserve">r. są nieistniejące, ponieważ Alicja O. nie nabyła skutecznie udziałów od Wacława K. Alicja O podnosi z kolei, że nabyła udziały w dobrej wierze i dlatego stała się wspólniczką spółki. </w:t>
      </w:r>
      <w:r w:rsidRPr="00AE2CB4">
        <w:rPr>
          <w:rFonts w:ascii="Times New Roman" w:hAnsi="Times New Roman"/>
          <w:sz w:val="24"/>
          <w:szCs w:val="24"/>
        </w:rPr>
        <w:t xml:space="preserve">Również Jan U. twierdzi, że przy zawieraniu umowy nabycia nieruchomości nic </w:t>
      </w:r>
      <w:r>
        <w:rPr>
          <w:rFonts w:ascii="Times New Roman" w:hAnsi="Times New Roman"/>
          <w:sz w:val="24"/>
          <w:szCs w:val="24"/>
        </w:rPr>
        <w:t xml:space="preserve">nie wiedział o tym, że uchwała z 12 marca </w:t>
      </w:r>
      <w:r w:rsidR="000A3B1D">
        <w:rPr>
          <w:rFonts w:ascii="Times New Roman" w:hAnsi="Times New Roman"/>
          <w:sz w:val="24"/>
          <w:szCs w:val="24"/>
        </w:rPr>
        <w:t>2023</w:t>
      </w:r>
      <w:r w:rsidR="000A3B1D">
        <w:rPr>
          <w:rFonts w:ascii="Times New Roman" w:hAnsi="Times New Roman"/>
          <w:sz w:val="24"/>
          <w:szCs w:val="24"/>
        </w:rPr>
        <w:t xml:space="preserve"> </w:t>
      </w:r>
      <w:r>
        <w:rPr>
          <w:rFonts w:ascii="Times New Roman" w:hAnsi="Times New Roman"/>
          <w:sz w:val="24"/>
          <w:szCs w:val="24"/>
        </w:rPr>
        <w:t xml:space="preserve">została zaskarżona powództwem o stwierdzenie jej nieważności. </w:t>
      </w:r>
      <w:r w:rsidRPr="004669E7">
        <w:rPr>
          <w:rFonts w:ascii="Times New Roman" w:hAnsi="Times New Roman"/>
          <w:sz w:val="24"/>
          <w:szCs w:val="24"/>
        </w:rPr>
        <w:t>Podnosi ponadto, że nie zna osobiście ani Alicji O., a</w:t>
      </w:r>
      <w:r>
        <w:rPr>
          <w:rFonts w:ascii="Times New Roman" w:hAnsi="Times New Roman"/>
          <w:sz w:val="24"/>
          <w:szCs w:val="24"/>
        </w:rPr>
        <w:t>ni</w:t>
      </w:r>
      <w:r w:rsidRPr="004669E7">
        <w:rPr>
          <w:rFonts w:ascii="Times New Roman" w:hAnsi="Times New Roman"/>
          <w:sz w:val="24"/>
          <w:szCs w:val="24"/>
        </w:rPr>
        <w:t xml:space="preserve"> </w:t>
      </w:r>
      <w:r>
        <w:rPr>
          <w:rFonts w:ascii="Times New Roman" w:hAnsi="Times New Roman"/>
          <w:sz w:val="24"/>
          <w:szCs w:val="24"/>
        </w:rPr>
        <w:t xml:space="preserve">Wacława K. </w:t>
      </w:r>
    </w:p>
    <w:p w14:paraId="5788E1C2" w14:textId="77777777" w:rsidR="003B2F89" w:rsidRPr="004669E7" w:rsidRDefault="003B2F89" w:rsidP="003B2F89">
      <w:pPr>
        <w:spacing w:before="80" w:after="80"/>
        <w:jc w:val="both"/>
        <w:rPr>
          <w:rFonts w:ascii="Times New Roman" w:hAnsi="Times New Roman"/>
          <w:sz w:val="24"/>
          <w:szCs w:val="24"/>
        </w:rPr>
      </w:pPr>
      <w:r w:rsidRPr="004669E7">
        <w:rPr>
          <w:rFonts w:ascii="Times New Roman" w:hAnsi="Times New Roman"/>
          <w:sz w:val="24"/>
          <w:szCs w:val="24"/>
        </w:rPr>
        <w:t>Czy Alicja O. stała się wspólnicz</w:t>
      </w:r>
      <w:r>
        <w:rPr>
          <w:rFonts w:ascii="Times New Roman" w:hAnsi="Times New Roman"/>
          <w:sz w:val="24"/>
          <w:szCs w:val="24"/>
        </w:rPr>
        <w:t>k</w:t>
      </w:r>
      <w:r w:rsidRPr="004669E7">
        <w:rPr>
          <w:rFonts w:ascii="Times New Roman" w:hAnsi="Times New Roman"/>
          <w:sz w:val="24"/>
          <w:szCs w:val="24"/>
        </w:rPr>
        <w:t xml:space="preserve">ą „Krakus“ spółki z o.o. </w:t>
      </w:r>
      <w:r>
        <w:rPr>
          <w:rFonts w:ascii="Times New Roman" w:hAnsi="Times New Roman"/>
          <w:sz w:val="24"/>
          <w:szCs w:val="24"/>
        </w:rPr>
        <w:t>? Czy Jan. U. nabył skutecznie nieruchomość od spółki ?</w:t>
      </w:r>
    </w:p>
    <w:p w14:paraId="3949B993" w14:textId="77777777" w:rsidR="003B2F89" w:rsidRPr="009B27CD" w:rsidRDefault="003B2F89" w:rsidP="003B2F89">
      <w:pPr>
        <w:spacing w:before="80" w:after="80"/>
        <w:jc w:val="both"/>
        <w:rPr>
          <w:rFonts w:ascii="Times New Roman" w:hAnsi="Times New Roman"/>
          <w:b/>
          <w:i/>
          <w:sz w:val="24"/>
          <w:szCs w:val="24"/>
        </w:rPr>
      </w:pPr>
      <w:r w:rsidRPr="009B27CD">
        <w:rPr>
          <w:rFonts w:ascii="Times New Roman" w:hAnsi="Times New Roman"/>
          <w:b/>
          <w:i/>
          <w:sz w:val="24"/>
          <w:szCs w:val="24"/>
        </w:rPr>
        <w:t xml:space="preserve">Zob. wyroki SN: </w:t>
      </w:r>
    </w:p>
    <w:p w14:paraId="5C611E08" w14:textId="77777777" w:rsidR="003B2F89" w:rsidRDefault="003B2F89" w:rsidP="003B2F89">
      <w:pPr>
        <w:spacing w:before="80" w:after="80"/>
        <w:jc w:val="both"/>
        <w:rPr>
          <w:rFonts w:ascii="Times New Roman" w:hAnsi="Times New Roman"/>
          <w:i/>
          <w:sz w:val="24"/>
          <w:szCs w:val="24"/>
        </w:rPr>
      </w:pPr>
      <w:r>
        <w:rPr>
          <w:rFonts w:ascii="Times New Roman" w:hAnsi="Times New Roman"/>
          <w:i/>
          <w:sz w:val="24"/>
          <w:szCs w:val="24"/>
        </w:rPr>
        <w:t xml:space="preserve">- </w:t>
      </w:r>
      <w:r w:rsidRPr="00886699">
        <w:rPr>
          <w:rFonts w:ascii="Times New Roman" w:hAnsi="Times New Roman"/>
          <w:b/>
          <w:i/>
          <w:sz w:val="24"/>
          <w:szCs w:val="24"/>
        </w:rPr>
        <w:t>z dnia 16 marca 2006 r. III CSK 32/2006</w:t>
      </w:r>
      <w:r>
        <w:rPr>
          <w:rFonts w:ascii="Times New Roman" w:hAnsi="Times New Roman"/>
          <w:i/>
          <w:sz w:val="24"/>
          <w:szCs w:val="24"/>
        </w:rPr>
        <w:t xml:space="preserve"> (Teza: „</w:t>
      </w:r>
      <w:r w:rsidRPr="005A2452">
        <w:rPr>
          <w:rFonts w:ascii="Times New Roman" w:hAnsi="Times New Roman"/>
          <w:i/>
          <w:sz w:val="24"/>
          <w:szCs w:val="24"/>
        </w:rPr>
        <w:t xml:space="preserve">Normy wynikającej z art. 254 § 2 i 4 </w:t>
      </w:r>
      <w:proofErr w:type="spellStart"/>
      <w:r w:rsidRPr="005A2452">
        <w:rPr>
          <w:rFonts w:ascii="Times New Roman" w:hAnsi="Times New Roman"/>
          <w:i/>
          <w:sz w:val="24"/>
          <w:szCs w:val="24"/>
        </w:rPr>
        <w:t>ksh</w:t>
      </w:r>
      <w:proofErr w:type="spellEnd"/>
      <w:r w:rsidRPr="005A2452">
        <w:rPr>
          <w:rFonts w:ascii="Times New Roman" w:hAnsi="Times New Roman"/>
          <w:i/>
          <w:sz w:val="24"/>
          <w:szCs w:val="24"/>
        </w:rPr>
        <w:t xml:space="preserve"> nie stosuje się w przypadkach stwierdzenia nieważności uchwały zgromadzenia wspólników zawierającej zgodę na zbycie udziałów</w:t>
      </w:r>
      <w:r>
        <w:rPr>
          <w:rFonts w:ascii="Times New Roman" w:hAnsi="Times New Roman"/>
          <w:i/>
          <w:sz w:val="24"/>
          <w:szCs w:val="24"/>
        </w:rPr>
        <w:t>”)</w:t>
      </w:r>
      <w:r w:rsidRPr="005A2452">
        <w:rPr>
          <w:rFonts w:ascii="Times New Roman" w:hAnsi="Times New Roman"/>
          <w:i/>
          <w:sz w:val="24"/>
          <w:szCs w:val="24"/>
        </w:rPr>
        <w:t>.</w:t>
      </w:r>
    </w:p>
    <w:p w14:paraId="14CA0CC0" w14:textId="77777777" w:rsidR="003B2F89" w:rsidRDefault="003B2F89" w:rsidP="003B2F89">
      <w:pPr>
        <w:spacing w:before="80" w:after="80"/>
        <w:jc w:val="both"/>
        <w:rPr>
          <w:rFonts w:ascii="Times New Roman" w:hAnsi="Times New Roman"/>
          <w:i/>
          <w:sz w:val="24"/>
          <w:szCs w:val="24"/>
        </w:rPr>
      </w:pPr>
      <w:r>
        <w:rPr>
          <w:rFonts w:ascii="Times New Roman" w:hAnsi="Times New Roman"/>
          <w:i/>
          <w:sz w:val="24"/>
          <w:szCs w:val="24"/>
        </w:rPr>
        <w:t>-</w:t>
      </w:r>
      <w:r w:rsidRPr="00327C62">
        <w:rPr>
          <w:rFonts w:ascii="Times New Roman" w:hAnsi="Times New Roman"/>
          <w:i/>
          <w:sz w:val="24"/>
          <w:szCs w:val="24"/>
        </w:rPr>
        <w:t xml:space="preserve"> </w:t>
      </w:r>
      <w:r w:rsidRPr="00886699">
        <w:rPr>
          <w:rFonts w:ascii="Times New Roman" w:hAnsi="Times New Roman"/>
          <w:b/>
          <w:i/>
          <w:sz w:val="24"/>
          <w:szCs w:val="24"/>
        </w:rPr>
        <w:t>z dnia 12 grudnia 2008 r., II CSK 278/2008</w:t>
      </w:r>
      <w:r>
        <w:rPr>
          <w:rFonts w:ascii="Times New Roman" w:hAnsi="Times New Roman"/>
          <w:i/>
          <w:sz w:val="24"/>
          <w:szCs w:val="24"/>
        </w:rPr>
        <w:t xml:space="preserve"> (z uzasadnienia: „(…)</w:t>
      </w:r>
      <w:r w:rsidRPr="00886699">
        <w:rPr>
          <w:rFonts w:ascii="Times New Roman" w:hAnsi="Times New Roman"/>
          <w:i/>
          <w:sz w:val="24"/>
          <w:szCs w:val="24"/>
        </w:rPr>
        <w:t xml:space="preserve">Sąd Apelacyjny trafnie podkreślił, że o </w:t>
      </w:r>
      <w:r w:rsidRPr="00886699">
        <w:rPr>
          <w:rFonts w:ascii="Times New Roman" w:hAnsi="Times New Roman"/>
          <w:b/>
          <w:i/>
          <w:sz w:val="24"/>
          <w:szCs w:val="24"/>
        </w:rPr>
        <w:t>uchwale nieistniejącej</w:t>
      </w:r>
      <w:r w:rsidRPr="00886699">
        <w:rPr>
          <w:rFonts w:ascii="Times New Roman" w:hAnsi="Times New Roman"/>
          <w:i/>
          <w:sz w:val="24"/>
          <w:szCs w:val="24"/>
        </w:rPr>
        <w:t xml:space="preserve"> wspólników można mówić wtedy, gdy uchwała została powzięta przez osoby niebędące w rzeczywistości wspólnikami, gdy w ogóle nie doszło do zwołania zgromadzenia wspólników oraz gdy brak było niezbędnego do jej podjęcia quorum lub też uchwała nie uzyskała wymaganej większości głosów. W piśmiennictwie przyjmuje się jednak, że uchwała wspólników może być uznana za nieistniejącą również w innych sytuacjach, mianowicie wtedy, gdy wyniki głosowania zostały sfałszowane, zaprotokołowano uchwałę bez głosowania lub uchwałę powzięto w sprawie nieumieszczonej w porządku obrad, z wyjątkiem określonym w art. 239 § 1 </w:t>
      </w:r>
      <w:proofErr w:type="spellStart"/>
      <w:r w:rsidRPr="00886699">
        <w:rPr>
          <w:rFonts w:ascii="Times New Roman" w:hAnsi="Times New Roman"/>
          <w:i/>
          <w:sz w:val="24"/>
          <w:szCs w:val="24"/>
        </w:rPr>
        <w:t>k.s.h</w:t>
      </w:r>
      <w:proofErr w:type="spellEnd"/>
      <w:r w:rsidRPr="00886699">
        <w:rPr>
          <w:rFonts w:ascii="Times New Roman" w:hAnsi="Times New Roman"/>
          <w:i/>
          <w:sz w:val="24"/>
          <w:szCs w:val="24"/>
        </w:rPr>
        <w:t>., a także, zgodnie z ogólnymi regułami dotyczącymi nieistniejących czynności prawnych, gdy zastosowano przymus fizyczny wobec wspólników, uchwała została powzięta nie na serio albo treść uchwały jest niezrozumiała i nie można ustalić jej sensu w drodze wykładni.”</w:t>
      </w:r>
    </w:p>
    <w:p w14:paraId="2657CE2F" w14:textId="77777777" w:rsidR="003B2F89" w:rsidRPr="00327C62" w:rsidRDefault="003B2F89" w:rsidP="003B2F89">
      <w:pPr>
        <w:spacing w:before="80" w:after="80"/>
        <w:jc w:val="both"/>
        <w:rPr>
          <w:rFonts w:ascii="Times New Roman" w:hAnsi="Times New Roman"/>
          <w:i/>
          <w:sz w:val="24"/>
          <w:szCs w:val="24"/>
        </w:rPr>
      </w:pPr>
      <w:r>
        <w:rPr>
          <w:rFonts w:ascii="Times New Roman" w:hAnsi="Times New Roman"/>
          <w:i/>
          <w:sz w:val="24"/>
          <w:szCs w:val="24"/>
        </w:rPr>
        <w:t xml:space="preserve">- </w:t>
      </w:r>
      <w:r w:rsidRPr="009B27CD">
        <w:rPr>
          <w:rFonts w:ascii="Times New Roman" w:hAnsi="Times New Roman"/>
          <w:b/>
          <w:i/>
          <w:sz w:val="24"/>
          <w:szCs w:val="24"/>
        </w:rPr>
        <w:t xml:space="preserve">z </w:t>
      </w:r>
      <w:r>
        <w:rPr>
          <w:rFonts w:ascii="Times New Roman" w:hAnsi="Times New Roman"/>
          <w:b/>
          <w:i/>
          <w:sz w:val="24"/>
          <w:szCs w:val="24"/>
        </w:rPr>
        <w:t xml:space="preserve">dnia </w:t>
      </w:r>
      <w:r w:rsidRPr="009B27CD">
        <w:rPr>
          <w:rFonts w:ascii="Times New Roman" w:hAnsi="Times New Roman"/>
          <w:b/>
          <w:i/>
          <w:sz w:val="24"/>
          <w:szCs w:val="24"/>
        </w:rPr>
        <w:t>7 września 1993 r., II CRN 60/93</w:t>
      </w:r>
      <w:r>
        <w:rPr>
          <w:rFonts w:ascii="Times New Roman" w:hAnsi="Times New Roman"/>
          <w:i/>
          <w:sz w:val="24"/>
          <w:szCs w:val="24"/>
        </w:rPr>
        <w:t xml:space="preserve"> (Teza: „</w:t>
      </w:r>
      <w:r w:rsidRPr="009B27CD">
        <w:rPr>
          <w:rFonts w:ascii="Times New Roman" w:hAnsi="Times New Roman"/>
          <w:i/>
          <w:sz w:val="24"/>
          <w:szCs w:val="24"/>
        </w:rPr>
        <w:t xml:space="preserve">Umowa zbycia udziałów zawarta bez zezwolenia spółki z o.o. (do udzielenia którego właściwe jest zgromadzenie wspólników) stanowi czynność bezskuteczną, i </w:t>
      </w:r>
      <w:r>
        <w:rPr>
          <w:rFonts w:ascii="Times New Roman" w:hAnsi="Times New Roman"/>
          <w:i/>
          <w:sz w:val="24"/>
          <w:szCs w:val="24"/>
        </w:rPr>
        <w:t>to zarówno wobec spółki, jak i</w:t>
      </w:r>
      <w:r w:rsidRPr="009B27CD">
        <w:rPr>
          <w:rFonts w:ascii="Times New Roman" w:hAnsi="Times New Roman"/>
          <w:i/>
          <w:sz w:val="24"/>
          <w:szCs w:val="24"/>
        </w:rPr>
        <w:t xml:space="preserve"> w stosunkach między stronami. Umowa taka może się stać skuteczna dopiero wtedy, gdy stosowne zezwolenie zostanie wyraźnie udzielone.</w:t>
      </w:r>
      <w:r>
        <w:rPr>
          <w:rFonts w:ascii="Times New Roman" w:hAnsi="Times New Roman"/>
          <w:i/>
          <w:sz w:val="24"/>
          <w:szCs w:val="24"/>
        </w:rPr>
        <w:t>”)</w:t>
      </w:r>
    </w:p>
    <w:p w14:paraId="118DAFE7" w14:textId="77777777" w:rsidR="003B2F89" w:rsidRPr="004637AF" w:rsidRDefault="003B2F89" w:rsidP="003B2F89">
      <w:pPr>
        <w:spacing w:before="80" w:after="80"/>
        <w:jc w:val="both"/>
        <w:rPr>
          <w:rFonts w:ascii="Times New Roman" w:hAnsi="Times New Roman"/>
          <w:i/>
          <w:sz w:val="24"/>
          <w:szCs w:val="24"/>
        </w:rPr>
      </w:pPr>
      <w:r>
        <w:rPr>
          <w:rFonts w:ascii="Times New Roman" w:hAnsi="Times New Roman"/>
          <w:b/>
          <w:i/>
          <w:sz w:val="24"/>
          <w:szCs w:val="24"/>
        </w:rPr>
        <w:lastRenderedPageBreak/>
        <w:t xml:space="preserve">- </w:t>
      </w:r>
      <w:r w:rsidRPr="002C1ADB">
        <w:rPr>
          <w:rFonts w:ascii="Times New Roman" w:hAnsi="Times New Roman"/>
          <w:b/>
          <w:i/>
          <w:sz w:val="24"/>
          <w:szCs w:val="24"/>
        </w:rPr>
        <w:t>Uchwała 7 sędziów SN z 18.9.2013 r., III CZP 13/13:</w:t>
      </w:r>
      <w:r>
        <w:rPr>
          <w:rFonts w:ascii="Times New Roman" w:hAnsi="Times New Roman"/>
          <w:sz w:val="24"/>
          <w:szCs w:val="24"/>
        </w:rPr>
        <w:t xml:space="preserve"> </w:t>
      </w:r>
      <w:r w:rsidRPr="004637AF">
        <w:rPr>
          <w:rFonts w:ascii="Times New Roman" w:hAnsi="Times New Roman"/>
          <w:i/>
          <w:sz w:val="24"/>
          <w:szCs w:val="24"/>
        </w:rPr>
        <w:t xml:space="preserve">„1. Wyrok sądu stwierdzający nieważność sprzecznej z ustawą uchwały wspólników spółki z ograniczoną odpowiedzialnością lub uchwały walnego zgromadzenia spółki akcyjnej ma </w:t>
      </w:r>
      <w:r w:rsidRPr="002C1ADB">
        <w:rPr>
          <w:rFonts w:ascii="Times New Roman" w:hAnsi="Times New Roman"/>
          <w:b/>
          <w:i/>
          <w:sz w:val="24"/>
          <w:szCs w:val="24"/>
        </w:rPr>
        <w:t>charakter konstytutywny</w:t>
      </w:r>
      <w:r w:rsidRPr="004637AF">
        <w:rPr>
          <w:rFonts w:ascii="Times New Roman" w:hAnsi="Times New Roman"/>
          <w:i/>
          <w:sz w:val="24"/>
          <w:szCs w:val="24"/>
        </w:rPr>
        <w:t>.</w:t>
      </w:r>
    </w:p>
    <w:p w14:paraId="03A1E7B2" w14:textId="77777777" w:rsidR="003B2F89" w:rsidRPr="004637AF" w:rsidRDefault="003B2F89" w:rsidP="003B2F89">
      <w:pPr>
        <w:spacing w:before="80" w:after="80"/>
        <w:jc w:val="both"/>
        <w:rPr>
          <w:rFonts w:ascii="Times New Roman" w:hAnsi="Times New Roman"/>
          <w:i/>
          <w:sz w:val="24"/>
          <w:szCs w:val="24"/>
        </w:rPr>
      </w:pPr>
      <w:r w:rsidRPr="004637AF">
        <w:rPr>
          <w:rFonts w:ascii="Times New Roman" w:hAnsi="Times New Roman"/>
          <w:i/>
          <w:sz w:val="24"/>
          <w:szCs w:val="24"/>
        </w:rPr>
        <w:t>2. Uchwały zarządu, rady nadzorczej i komisji rewizyjnej spółki z ograniczoną odpowiedzialnością oraz uchwały zarządu i rady nadzorczej spółki akcyjnej podlegają zaskarżeniu w drodze powództwa o ustalenie (art. 189 k.p.c. w związku z art. 58 k.c.).”</w:t>
      </w:r>
    </w:p>
    <w:p w14:paraId="754242AC" w14:textId="77777777" w:rsidR="003B2F89" w:rsidRPr="00F4673F" w:rsidRDefault="003B2F89" w:rsidP="003B2F89">
      <w:pPr>
        <w:spacing w:before="80" w:after="80"/>
        <w:jc w:val="both"/>
        <w:rPr>
          <w:rFonts w:ascii="Times New Roman" w:hAnsi="Times New Roman"/>
          <w:i/>
          <w:sz w:val="24"/>
          <w:szCs w:val="24"/>
        </w:rPr>
      </w:pPr>
      <w:r w:rsidRPr="00F4673F">
        <w:rPr>
          <w:rFonts w:ascii="Times New Roman" w:hAnsi="Times New Roman"/>
          <w:i/>
          <w:sz w:val="24"/>
          <w:szCs w:val="24"/>
        </w:rPr>
        <w:t xml:space="preserve">- </w:t>
      </w:r>
      <w:r w:rsidRPr="00F4673F">
        <w:rPr>
          <w:rFonts w:ascii="Times New Roman" w:hAnsi="Times New Roman"/>
          <w:b/>
          <w:i/>
          <w:sz w:val="24"/>
          <w:szCs w:val="24"/>
        </w:rPr>
        <w:t>uchwała SN z 20.12.2012 r., akt III CZP 84/12:</w:t>
      </w:r>
      <w:r w:rsidRPr="00F4673F">
        <w:rPr>
          <w:rFonts w:ascii="Times New Roman" w:hAnsi="Times New Roman"/>
          <w:i/>
          <w:sz w:val="24"/>
          <w:szCs w:val="24"/>
        </w:rPr>
        <w:t xml:space="preserve"> „Uchwała zgromadzenia wspólników spółki z ograniczoną odpowiedzialnością sprzeczna z zasadami współżycia społecznego narusza dobre obyczaje w rozumieniu art. 249 § 1 </w:t>
      </w:r>
      <w:proofErr w:type="spellStart"/>
      <w:r w:rsidRPr="00F4673F">
        <w:rPr>
          <w:rFonts w:ascii="Times New Roman" w:hAnsi="Times New Roman"/>
          <w:i/>
          <w:sz w:val="24"/>
          <w:szCs w:val="24"/>
        </w:rPr>
        <w:t>k.s.h</w:t>
      </w:r>
      <w:proofErr w:type="spellEnd"/>
      <w:r w:rsidRPr="00F4673F">
        <w:rPr>
          <w:rFonts w:ascii="Times New Roman" w:hAnsi="Times New Roman"/>
          <w:i/>
          <w:sz w:val="24"/>
          <w:szCs w:val="24"/>
        </w:rPr>
        <w:t>.”</w:t>
      </w:r>
    </w:p>
    <w:p w14:paraId="0A04A45E" w14:textId="77777777" w:rsidR="005810F3" w:rsidRDefault="005810F3" w:rsidP="005810F3">
      <w:pPr>
        <w:spacing w:before="80" w:after="80"/>
        <w:jc w:val="both"/>
        <w:rPr>
          <w:rFonts w:ascii="Times New Roman" w:hAnsi="Times New Roman"/>
          <w:sz w:val="24"/>
          <w:szCs w:val="24"/>
        </w:rPr>
      </w:pPr>
    </w:p>
    <w:p w14:paraId="6F226291" w14:textId="77777777" w:rsidR="005810F3" w:rsidRPr="001B4665" w:rsidRDefault="005810F3" w:rsidP="005810F3">
      <w:pPr>
        <w:spacing w:before="80" w:after="80"/>
        <w:jc w:val="both"/>
        <w:rPr>
          <w:rFonts w:ascii="Times New Roman" w:hAnsi="Times New Roman"/>
          <w:b/>
          <w:sz w:val="24"/>
          <w:szCs w:val="24"/>
        </w:rPr>
      </w:pPr>
      <w:r w:rsidRPr="001B4665">
        <w:rPr>
          <w:rFonts w:ascii="Times New Roman" w:hAnsi="Times New Roman"/>
          <w:b/>
          <w:sz w:val="24"/>
          <w:szCs w:val="24"/>
        </w:rPr>
        <w:t xml:space="preserve">Kazus </w:t>
      </w:r>
      <w:r w:rsidR="00500366">
        <w:rPr>
          <w:rFonts w:ascii="Times New Roman" w:hAnsi="Times New Roman"/>
          <w:b/>
          <w:sz w:val="24"/>
          <w:szCs w:val="24"/>
        </w:rPr>
        <w:t>6</w:t>
      </w:r>
    </w:p>
    <w:p w14:paraId="152C4C44" w14:textId="098A80CD" w:rsidR="009D0BC8" w:rsidRDefault="005810F3" w:rsidP="005810F3">
      <w:pPr>
        <w:spacing w:before="80" w:after="80"/>
        <w:jc w:val="both"/>
        <w:rPr>
          <w:rFonts w:ascii="Times New Roman" w:hAnsi="Times New Roman"/>
          <w:sz w:val="24"/>
          <w:szCs w:val="24"/>
        </w:rPr>
      </w:pPr>
      <w:r>
        <w:rPr>
          <w:rFonts w:ascii="Times New Roman" w:hAnsi="Times New Roman"/>
          <w:sz w:val="24"/>
          <w:szCs w:val="24"/>
        </w:rPr>
        <w:t>Umowa spółki z o.o. przewiduje wymóg kworum połowy kapitału zakładowego jako warunek ważności zgromadzenia wspólników, na którym m.in. ma zostać podjęta uchwała o odwołaniu członków zarządu. W dniu 10.07.</w:t>
      </w:r>
      <w:r w:rsidR="000A3B1D" w:rsidRPr="000A3B1D">
        <w:rPr>
          <w:rFonts w:ascii="Times New Roman" w:hAnsi="Times New Roman"/>
          <w:sz w:val="24"/>
          <w:szCs w:val="24"/>
        </w:rPr>
        <w:t xml:space="preserve"> </w:t>
      </w:r>
      <w:r w:rsidR="000A3B1D">
        <w:rPr>
          <w:rFonts w:ascii="Times New Roman" w:hAnsi="Times New Roman"/>
          <w:sz w:val="24"/>
          <w:szCs w:val="24"/>
        </w:rPr>
        <w:t>2023</w:t>
      </w:r>
      <w:r w:rsidR="000A3B1D">
        <w:rPr>
          <w:rFonts w:ascii="Times New Roman" w:hAnsi="Times New Roman"/>
          <w:sz w:val="24"/>
          <w:szCs w:val="24"/>
        </w:rPr>
        <w:t xml:space="preserve"> </w:t>
      </w:r>
      <w:r>
        <w:rPr>
          <w:rFonts w:ascii="Times New Roman" w:hAnsi="Times New Roman"/>
          <w:sz w:val="24"/>
          <w:szCs w:val="24"/>
        </w:rPr>
        <w:t xml:space="preserve">r. odbyło się walne zgromadzenie, na którym reprezentowane było ok. 40% kapitału zakładowego spółki i na którym podjęto uchwałę (bezwzględną większością głosów) o odwołaniu dotychczasowych członków zarządu i powołaniu nowych. Czy uchwała jest </w:t>
      </w:r>
      <w:r w:rsidR="009D0BC8">
        <w:rPr>
          <w:rFonts w:ascii="Times New Roman" w:hAnsi="Times New Roman"/>
          <w:sz w:val="24"/>
          <w:szCs w:val="24"/>
        </w:rPr>
        <w:t xml:space="preserve">„nieistniejąca” czy „tylko” zaskarżalna? </w:t>
      </w:r>
    </w:p>
    <w:p w14:paraId="5F767C48" w14:textId="77777777" w:rsidR="009D0BC8" w:rsidRDefault="009D0BC8" w:rsidP="009D0BC8">
      <w:pPr>
        <w:spacing w:before="80" w:after="80"/>
        <w:jc w:val="both"/>
        <w:rPr>
          <w:rFonts w:ascii="Times New Roman" w:hAnsi="Times New Roman"/>
          <w:i/>
          <w:sz w:val="24"/>
          <w:szCs w:val="24"/>
        </w:rPr>
      </w:pPr>
      <w:r w:rsidRPr="009D0BC8">
        <w:rPr>
          <w:rFonts w:ascii="Times New Roman" w:hAnsi="Times New Roman"/>
          <w:i/>
          <w:sz w:val="24"/>
          <w:szCs w:val="24"/>
        </w:rPr>
        <w:t xml:space="preserve">Por. </w:t>
      </w:r>
      <w:r w:rsidRPr="00CA2AA4">
        <w:rPr>
          <w:rFonts w:ascii="Times New Roman" w:hAnsi="Times New Roman"/>
          <w:b/>
          <w:i/>
          <w:sz w:val="24"/>
          <w:szCs w:val="24"/>
        </w:rPr>
        <w:t>wyrok SN z 4.07.2012 r. (I CSK 635/11)</w:t>
      </w:r>
      <w:r w:rsidR="00CA2AA4" w:rsidRPr="00CA2AA4">
        <w:rPr>
          <w:rFonts w:ascii="Times New Roman" w:hAnsi="Times New Roman"/>
          <w:b/>
          <w:i/>
          <w:sz w:val="24"/>
          <w:szCs w:val="24"/>
        </w:rPr>
        <w:t>:</w:t>
      </w:r>
      <w:r w:rsidR="00A8601C">
        <w:rPr>
          <w:rFonts w:ascii="Times New Roman" w:hAnsi="Times New Roman"/>
          <w:i/>
          <w:sz w:val="24"/>
          <w:szCs w:val="24"/>
        </w:rPr>
        <w:t xml:space="preserve"> A</w:t>
      </w:r>
      <w:r w:rsidR="00CA2AA4" w:rsidRPr="00CA2AA4">
        <w:rPr>
          <w:rFonts w:ascii="Times New Roman" w:hAnsi="Times New Roman"/>
          <w:i/>
          <w:sz w:val="24"/>
          <w:szCs w:val="24"/>
        </w:rPr>
        <w:t xml:space="preserve">rt. 241 </w:t>
      </w:r>
      <w:proofErr w:type="spellStart"/>
      <w:r w:rsidR="00CA2AA4" w:rsidRPr="00CA2AA4">
        <w:rPr>
          <w:rFonts w:ascii="Times New Roman" w:hAnsi="Times New Roman"/>
          <w:i/>
          <w:sz w:val="24"/>
          <w:szCs w:val="24"/>
        </w:rPr>
        <w:t>k.s.h</w:t>
      </w:r>
      <w:proofErr w:type="spellEnd"/>
      <w:r w:rsidR="00CA2AA4" w:rsidRPr="00CA2AA4">
        <w:rPr>
          <w:rFonts w:ascii="Times New Roman" w:hAnsi="Times New Roman"/>
          <w:i/>
          <w:sz w:val="24"/>
          <w:szCs w:val="24"/>
        </w:rPr>
        <w:t xml:space="preserve">. przewiduje ważność zgromadzenia wspólników, a tym samym kompetencję do podjęcia uchwał, bez względu na liczbę reprezentowanych udziałów. Oznacza to, że zasadniczo ważność zgromadzenia nie zależy od liczby reprezentowanych na nim udziałów, chyba że wymóg zachowania kworum wynika z przepisów </w:t>
      </w:r>
      <w:proofErr w:type="spellStart"/>
      <w:r w:rsidR="00CA2AA4" w:rsidRPr="00CA2AA4">
        <w:rPr>
          <w:rFonts w:ascii="Times New Roman" w:hAnsi="Times New Roman"/>
          <w:i/>
          <w:sz w:val="24"/>
          <w:szCs w:val="24"/>
        </w:rPr>
        <w:t>k.s.h</w:t>
      </w:r>
      <w:proofErr w:type="spellEnd"/>
      <w:r w:rsidR="00CA2AA4" w:rsidRPr="00CA2AA4">
        <w:rPr>
          <w:rFonts w:ascii="Times New Roman" w:hAnsi="Times New Roman"/>
          <w:i/>
          <w:sz w:val="24"/>
          <w:szCs w:val="24"/>
        </w:rPr>
        <w:t>. lub z umowy spółki.</w:t>
      </w:r>
    </w:p>
    <w:p w14:paraId="5F8ABD1B" w14:textId="77777777" w:rsidR="005810F3" w:rsidRPr="005810F3" w:rsidRDefault="009D0BC8" w:rsidP="009D0BC8">
      <w:pPr>
        <w:spacing w:before="80" w:after="80"/>
        <w:jc w:val="both"/>
        <w:rPr>
          <w:rFonts w:ascii="Times New Roman" w:hAnsi="Times New Roman"/>
          <w:i/>
          <w:sz w:val="24"/>
          <w:szCs w:val="24"/>
        </w:rPr>
      </w:pPr>
      <w:r>
        <w:rPr>
          <w:rFonts w:ascii="Times New Roman" w:hAnsi="Times New Roman"/>
          <w:i/>
          <w:sz w:val="24"/>
          <w:szCs w:val="24"/>
        </w:rPr>
        <w:t xml:space="preserve">- </w:t>
      </w:r>
      <w:r w:rsidRPr="009D0BC8">
        <w:rPr>
          <w:rFonts w:ascii="Times New Roman" w:hAnsi="Times New Roman"/>
          <w:b/>
          <w:i/>
          <w:sz w:val="24"/>
          <w:szCs w:val="24"/>
        </w:rPr>
        <w:t>wyrok SN z 2.10.2014 r. (IV CSK 7/14):</w:t>
      </w:r>
      <w:r w:rsidRPr="009D0BC8">
        <w:rPr>
          <w:rFonts w:ascii="Times New Roman" w:hAnsi="Times New Roman"/>
          <w:i/>
          <w:sz w:val="24"/>
          <w:szCs w:val="24"/>
        </w:rPr>
        <w:t xml:space="preserve">  Zasadniczo ważność zgromadzenia nie zależy od liczby reprezentowanych na nim udziałów, chyba że wymóg zachowania kworum wynika z przepisów </w:t>
      </w:r>
      <w:proofErr w:type="spellStart"/>
      <w:r w:rsidRPr="009D0BC8">
        <w:rPr>
          <w:rFonts w:ascii="Times New Roman" w:hAnsi="Times New Roman"/>
          <w:i/>
          <w:sz w:val="24"/>
          <w:szCs w:val="24"/>
        </w:rPr>
        <w:t>k.s.h</w:t>
      </w:r>
      <w:proofErr w:type="spellEnd"/>
      <w:r w:rsidRPr="009D0BC8">
        <w:rPr>
          <w:rFonts w:ascii="Times New Roman" w:hAnsi="Times New Roman"/>
          <w:i/>
          <w:sz w:val="24"/>
          <w:szCs w:val="24"/>
        </w:rPr>
        <w:t>. lub z umowy spółki. Jeżeli niezdolność do podjęcia uchwały jest konsekwencją naruszenia przepisu ustawy ustanawiającego takie kworum, podjęta uchwała jest nieważna, jako sprzeczna z ustawą. Jeżeli natomiast niezdolność do podjęcia uchwały jest następstwem naruszenia postanowienia umownego, uchwała może zostać uchylona. (</w:t>
      </w:r>
      <w:r w:rsidRPr="009D0BC8">
        <w:rPr>
          <w:rFonts w:ascii="Times New Roman" w:hAnsi="Times New Roman"/>
          <w:b/>
          <w:i/>
          <w:sz w:val="24"/>
          <w:szCs w:val="24"/>
        </w:rPr>
        <w:t>Z uzasadnienia</w:t>
      </w:r>
      <w:r w:rsidRPr="009D0BC8">
        <w:rPr>
          <w:rFonts w:ascii="Times New Roman" w:hAnsi="Times New Roman"/>
          <w:i/>
          <w:sz w:val="24"/>
          <w:szCs w:val="24"/>
        </w:rPr>
        <w:t>:</w:t>
      </w:r>
      <w:r>
        <w:rPr>
          <w:rFonts w:ascii="Times New Roman" w:hAnsi="Times New Roman"/>
          <w:sz w:val="24"/>
          <w:szCs w:val="24"/>
        </w:rPr>
        <w:t xml:space="preserve"> </w:t>
      </w:r>
      <w:r w:rsidR="005810F3" w:rsidRPr="005810F3">
        <w:rPr>
          <w:rFonts w:ascii="Times New Roman" w:hAnsi="Times New Roman"/>
          <w:i/>
          <w:sz w:val="24"/>
          <w:szCs w:val="24"/>
        </w:rPr>
        <w:t xml:space="preserve">W wyroku z dnia 4 lipca 2012 r. (sygn. akt I CSK 635/11, </w:t>
      </w:r>
      <w:proofErr w:type="spellStart"/>
      <w:r w:rsidR="005810F3" w:rsidRPr="005810F3">
        <w:rPr>
          <w:rFonts w:ascii="Times New Roman" w:hAnsi="Times New Roman"/>
          <w:i/>
          <w:sz w:val="24"/>
          <w:szCs w:val="24"/>
        </w:rPr>
        <w:t>niepubl</w:t>
      </w:r>
      <w:proofErr w:type="spellEnd"/>
      <w:r w:rsidR="005810F3" w:rsidRPr="005810F3">
        <w:rPr>
          <w:rFonts w:ascii="Times New Roman" w:hAnsi="Times New Roman"/>
          <w:i/>
          <w:sz w:val="24"/>
          <w:szCs w:val="24"/>
        </w:rPr>
        <w:t xml:space="preserve">.) Sąd Najwyższy podjął się oceny znaczenia niezachowania kworum na zgromadzeniu wspólników w kontekście ważności lub nieistnienia podejmowanych uchwał. Wskazał w nim, ze art. 241 </w:t>
      </w:r>
      <w:proofErr w:type="spellStart"/>
      <w:r w:rsidR="005810F3" w:rsidRPr="005810F3">
        <w:rPr>
          <w:rFonts w:ascii="Times New Roman" w:hAnsi="Times New Roman"/>
          <w:i/>
          <w:sz w:val="24"/>
          <w:szCs w:val="24"/>
        </w:rPr>
        <w:t>k.s.h</w:t>
      </w:r>
      <w:proofErr w:type="spellEnd"/>
      <w:r w:rsidR="005810F3" w:rsidRPr="005810F3">
        <w:rPr>
          <w:rFonts w:ascii="Times New Roman" w:hAnsi="Times New Roman"/>
          <w:i/>
          <w:sz w:val="24"/>
          <w:szCs w:val="24"/>
        </w:rPr>
        <w:t xml:space="preserve">. przewiduje ważność zgromadzenia wspólników, a tym samym kompetencję do podjęcia uchwał, bez względu na liczbę reprezentowanych udziałów. Oznacza to, że zasadniczo ważność zgromadzenia nie zależy od liczby reprezentowanych na nim udziałów, chyba że wymóg zachowania kworum wynika z przepisów </w:t>
      </w:r>
      <w:proofErr w:type="spellStart"/>
      <w:r w:rsidR="005810F3" w:rsidRPr="005810F3">
        <w:rPr>
          <w:rFonts w:ascii="Times New Roman" w:hAnsi="Times New Roman"/>
          <w:i/>
          <w:sz w:val="24"/>
          <w:szCs w:val="24"/>
        </w:rPr>
        <w:t>k.s.h</w:t>
      </w:r>
      <w:proofErr w:type="spellEnd"/>
      <w:r w:rsidR="005810F3" w:rsidRPr="005810F3">
        <w:rPr>
          <w:rFonts w:ascii="Times New Roman" w:hAnsi="Times New Roman"/>
          <w:i/>
          <w:sz w:val="24"/>
          <w:szCs w:val="24"/>
        </w:rPr>
        <w:t xml:space="preserve">. lub z umowy spółki. W sprawie wymóg ten wynikał z umowy spółki. Zwrócić jednak należy uwagę, że w powołanym przepisie wymóg kworum powiązany został z pojęciem ważności zgromadzenia. Zważywszy, że przepisy nie przewidują nieważności zgromadzenia, ale nieważność uchwał, zachowanie kworum należy rozumieć, jako zdolność bądź brak zdolności do podjęcia (poszczególnej) uchwały. Jeżeli niezdolność do podjęcia uchwały jest konsekwencją naruszenia przepisu ustawy ustanawiającego takie kworum, podjęta uchwała jest nieważna, jako sprzeczna z ustawą. </w:t>
      </w:r>
      <w:r w:rsidR="005810F3" w:rsidRPr="005810F3">
        <w:rPr>
          <w:rFonts w:ascii="Times New Roman" w:hAnsi="Times New Roman"/>
          <w:i/>
          <w:sz w:val="24"/>
          <w:szCs w:val="24"/>
        </w:rPr>
        <w:lastRenderedPageBreak/>
        <w:t>Jeżeli natomiast niezdolność do podjęcia uchwały jest następstwem naruszenia postanowienia umownego, uchwała może zostać uchylona. W każdym z tych przypadków mamy jednak do czynienia z uchwałą podjętą. Sąd Najwyższy dodał też, że koncepcję uchwał nieistniejących wiąże się z zachowaniami, w których nie można rozpoznać oświadczenia woli, gdy tymczasem uchwały, zarówno sprzeczna z prawem jak i sprzeczna z umową, zawierają, co najmniej jedno oświadczenie woli. Nie można też zapomnieć, że na gruncie kodeksu cywilnego, nawet w przypadku braku zdolności danego podmiotu do dokonania czynności prawnej (art. 14 k.c.), przepisy kwalifikują czynność dokonaną przez taki podmiot, jako czynność nieważną, a nie nieistniejącą.</w:t>
      </w:r>
    </w:p>
    <w:p w14:paraId="6885A4AD" w14:textId="77777777" w:rsidR="003B2F89" w:rsidRDefault="005810F3" w:rsidP="005810F3">
      <w:pPr>
        <w:spacing w:before="80" w:after="80"/>
        <w:jc w:val="both"/>
        <w:rPr>
          <w:rFonts w:ascii="Times New Roman" w:hAnsi="Times New Roman"/>
          <w:i/>
          <w:sz w:val="24"/>
          <w:szCs w:val="24"/>
        </w:rPr>
      </w:pPr>
      <w:r w:rsidRPr="005810F3">
        <w:rPr>
          <w:rFonts w:ascii="Times New Roman" w:hAnsi="Times New Roman"/>
          <w:i/>
          <w:sz w:val="24"/>
          <w:szCs w:val="24"/>
        </w:rPr>
        <w:t xml:space="preserve">W związku ze stanem faktycznym sprawy, który istotnie zawęża zakres niezbędnych rozważań wystarczy wskazać, że tak jak przyjęte przez Sąd Najwyższy wymienionym wyroku z dnia 4 lipca 2012 r. konsekwencje braku wymaganego ustawą lub umową spółki kworum przy podejmowaniu uchwały, tak również naruszenie wymaganej ustawą lub umową większości głosów nie uzasadnia kwalifikowania tych czynności prawnych, jako nieistniejących, ale może, co najwyżej stanowić podstawę ich zaskarżenia odpowiednio na podstawie art. 249 oraz 252 </w:t>
      </w:r>
      <w:proofErr w:type="spellStart"/>
      <w:r w:rsidRPr="005810F3">
        <w:rPr>
          <w:rFonts w:ascii="Times New Roman" w:hAnsi="Times New Roman"/>
          <w:i/>
          <w:sz w:val="24"/>
          <w:szCs w:val="24"/>
        </w:rPr>
        <w:t>k.s.h</w:t>
      </w:r>
      <w:proofErr w:type="spellEnd"/>
      <w:r w:rsidRPr="005810F3">
        <w:rPr>
          <w:rFonts w:ascii="Times New Roman" w:hAnsi="Times New Roman"/>
          <w:i/>
          <w:sz w:val="24"/>
          <w:szCs w:val="24"/>
        </w:rPr>
        <w:t xml:space="preserve">. Istotne jest bowiem to, że za kwestionowaną uchwałą oddano wymaganą większość włosów. W razie braku jednego lub więcej głosów wymaganych ustawą do powzięcia uchwał, dochodzi do naruszenia normy prawnej konstruującej liczbę głosów wymaganych. Wobec tego jest to kwestia ważności podjętej uchwały, a nie jej nieistnienia. Przedmiotowa uchwała podjęta dnia 29 czerwca 2011 r. istnieje, a wobec naruszenia prawa przy jej podejmowaniu, ma do niej zastosowanie tryb sankcji przewidzianych w art. 249 § 1 oraz w art. 252 § 1 </w:t>
      </w:r>
      <w:proofErr w:type="spellStart"/>
      <w:r w:rsidRPr="005810F3">
        <w:rPr>
          <w:rFonts w:ascii="Times New Roman" w:hAnsi="Times New Roman"/>
          <w:i/>
          <w:sz w:val="24"/>
          <w:szCs w:val="24"/>
        </w:rPr>
        <w:t>k.s.</w:t>
      </w:r>
      <w:r>
        <w:rPr>
          <w:rFonts w:ascii="Times New Roman" w:hAnsi="Times New Roman"/>
          <w:i/>
          <w:sz w:val="24"/>
          <w:szCs w:val="24"/>
        </w:rPr>
        <w:t>h</w:t>
      </w:r>
      <w:proofErr w:type="spellEnd"/>
      <w:r>
        <w:rPr>
          <w:rFonts w:ascii="Times New Roman" w:hAnsi="Times New Roman"/>
          <w:i/>
          <w:sz w:val="24"/>
          <w:szCs w:val="24"/>
        </w:rPr>
        <w:t>.</w:t>
      </w:r>
      <w:r w:rsidR="009D0BC8">
        <w:rPr>
          <w:rFonts w:ascii="Times New Roman" w:hAnsi="Times New Roman"/>
          <w:i/>
          <w:sz w:val="24"/>
          <w:szCs w:val="24"/>
        </w:rPr>
        <w:t>)</w:t>
      </w:r>
      <w:r>
        <w:rPr>
          <w:rFonts w:ascii="Times New Roman" w:hAnsi="Times New Roman"/>
          <w:i/>
          <w:sz w:val="24"/>
          <w:szCs w:val="24"/>
        </w:rPr>
        <w:t xml:space="preserve"> </w:t>
      </w:r>
    </w:p>
    <w:p w14:paraId="6A0B61F4" w14:textId="77777777" w:rsidR="005810F3" w:rsidRDefault="005810F3" w:rsidP="003B2F89">
      <w:pPr>
        <w:spacing w:before="80" w:after="80"/>
        <w:jc w:val="both"/>
        <w:rPr>
          <w:rFonts w:ascii="Times New Roman" w:hAnsi="Times New Roman"/>
          <w:i/>
          <w:sz w:val="24"/>
          <w:szCs w:val="24"/>
        </w:rPr>
      </w:pPr>
    </w:p>
    <w:p w14:paraId="51B9B710" w14:textId="77777777" w:rsidR="008B6CA2" w:rsidRPr="002D0D7F" w:rsidRDefault="00500366" w:rsidP="008B6CA2">
      <w:pPr>
        <w:jc w:val="both"/>
        <w:rPr>
          <w:rFonts w:ascii="Times New Roman" w:hAnsi="Times New Roman"/>
          <w:b/>
          <w:sz w:val="24"/>
          <w:szCs w:val="24"/>
        </w:rPr>
      </w:pPr>
      <w:r>
        <w:rPr>
          <w:rFonts w:ascii="Times New Roman" w:hAnsi="Times New Roman"/>
          <w:b/>
          <w:sz w:val="24"/>
          <w:szCs w:val="24"/>
        </w:rPr>
        <w:t>Kazus 7</w:t>
      </w:r>
    </w:p>
    <w:p w14:paraId="5CB0D074" w14:textId="77777777" w:rsidR="00D01955" w:rsidRDefault="008B6CA2" w:rsidP="008B6CA2">
      <w:pPr>
        <w:jc w:val="both"/>
        <w:rPr>
          <w:rFonts w:ascii="Times New Roman" w:hAnsi="Times New Roman"/>
          <w:sz w:val="24"/>
          <w:szCs w:val="24"/>
        </w:rPr>
      </w:pPr>
      <w:r>
        <w:rPr>
          <w:rFonts w:ascii="Times New Roman" w:hAnsi="Times New Roman"/>
          <w:sz w:val="24"/>
          <w:szCs w:val="24"/>
        </w:rPr>
        <w:t xml:space="preserve">Umowa spółki z o.o. przewiduje, że </w:t>
      </w:r>
      <w:r w:rsidR="00D01955">
        <w:rPr>
          <w:rFonts w:ascii="Times New Roman" w:hAnsi="Times New Roman"/>
          <w:sz w:val="24"/>
          <w:szCs w:val="24"/>
        </w:rPr>
        <w:t xml:space="preserve">zarząd spółki liczy co najmniej trzech członków a </w:t>
      </w:r>
      <w:r>
        <w:rPr>
          <w:rFonts w:ascii="Times New Roman" w:hAnsi="Times New Roman"/>
          <w:sz w:val="24"/>
          <w:szCs w:val="24"/>
        </w:rPr>
        <w:t xml:space="preserve">spółkę reprezentuje dwóch członków zarządu lub członek zarządu działający łącznie z prokurentem. Zarząd spółki składa się z trzech członków, A, B i C. Członkowie zarządu A i B, działając za spółkę, udzielili B pełnomocnictwa rodzajowego do dokonywania w imieniu spółki wszelkich czynności wiążących się stosunkami zatrudnienia pracowników spółki. Ponadto członkowie zarządu podjęli uchwałę w sprawie udzielenia prokury </w:t>
      </w:r>
      <w:r w:rsidR="00D01955">
        <w:rPr>
          <w:rFonts w:ascii="Times New Roman" w:hAnsi="Times New Roman"/>
          <w:sz w:val="24"/>
          <w:szCs w:val="24"/>
        </w:rPr>
        <w:t>następującym osobom:</w:t>
      </w:r>
    </w:p>
    <w:p w14:paraId="0639E4B6" w14:textId="77777777" w:rsidR="00D01955" w:rsidRDefault="00D01955" w:rsidP="008B6CA2">
      <w:pPr>
        <w:jc w:val="both"/>
        <w:rPr>
          <w:rFonts w:ascii="Times New Roman" w:hAnsi="Times New Roman"/>
          <w:sz w:val="24"/>
          <w:szCs w:val="24"/>
        </w:rPr>
      </w:pPr>
      <w:r>
        <w:rPr>
          <w:rFonts w:ascii="Times New Roman" w:hAnsi="Times New Roman"/>
          <w:sz w:val="24"/>
          <w:szCs w:val="24"/>
        </w:rPr>
        <w:tab/>
        <w:t xml:space="preserve">- </w:t>
      </w:r>
      <w:r w:rsidR="008B6CA2">
        <w:rPr>
          <w:rFonts w:ascii="Times New Roman" w:hAnsi="Times New Roman"/>
          <w:sz w:val="24"/>
          <w:szCs w:val="24"/>
        </w:rPr>
        <w:t>członkowi zarządu C</w:t>
      </w:r>
      <w:r w:rsidR="00EE3145">
        <w:rPr>
          <w:rFonts w:ascii="Times New Roman" w:hAnsi="Times New Roman"/>
          <w:sz w:val="24"/>
          <w:szCs w:val="24"/>
        </w:rPr>
        <w:t xml:space="preserve"> – jednoosobowa prokura</w:t>
      </w:r>
      <w:r>
        <w:rPr>
          <w:rFonts w:ascii="Times New Roman" w:hAnsi="Times New Roman"/>
          <w:sz w:val="24"/>
          <w:szCs w:val="24"/>
        </w:rPr>
        <w:t>,</w:t>
      </w:r>
    </w:p>
    <w:p w14:paraId="7607C32D" w14:textId="77777777" w:rsidR="000F2E92" w:rsidRDefault="000F2E92" w:rsidP="008B6CA2">
      <w:pPr>
        <w:jc w:val="both"/>
        <w:rPr>
          <w:rFonts w:ascii="Times New Roman" w:hAnsi="Times New Roman"/>
          <w:sz w:val="24"/>
          <w:szCs w:val="24"/>
        </w:rPr>
      </w:pPr>
      <w:r>
        <w:rPr>
          <w:rFonts w:ascii="Times New Roman" w:hAnsi="Times New Roman"/>
          <w:sz w:val="24"/>
          <w:szCs w:val="24"/>
        </w:rPr>
        <w:tab/>
        <w:t>- Andrzejowi B. i Zofii O. – prokury łącznej, uprawniającej do działania wspólnie z innym prokurentem</w:t>
      </w:r>
      <w:r w:rsidR="00501398">
        <w:rPr>
          <w:rFonts w:ascii="Times New Roman" w:hAnsi="Times New Roman"/>
          <w:sz w:val="24"/>
          <w:szCs w:val="24"/>
        </w:rPr>
        <w:t xml:space="preserve"> (prokura łączna właściwa)</w:t>
      </w:r>
    </w:p>
    <w:p w14:paraId="22D783DE" w14:textId="77777777" w:rsidR="00D01955" w:rsidRDefault="00D01955" w:rsidP="008B6CA2">
      <w:pPr>
        <w:jc w:val="both"/>
        <w:rPr>
          <w:rFonts w:ascii="Times New Roman" w:hAnsi="Times New Roman"/>
          <w:sz w:val="24"/>
          <w:szCs w:val="24"/>
        </w:rPr>
      </w:pPr>
      <w:r>
        <w:rPr>
          <w:rFonts w:ascii="Times New Roman" w:hAnsi="Times New Roman"/>
          <w:sz w:val="24"/>
          <w:szCs w:val="24"/>
        </w:rPr>
        <w:tab/>
        <w:t>- Janowi K,, będącemu pracownikiem spółki, jednak z tym zastrzeżeniem, że może on składać oświadczenia woli w imieniu spółki wyłącznie wraz z innym członkiem zarządu (prokura łączna niewłaściwa, prokura mieszana)</w:t>
      </w:r>
    </w:p>
    <w:p w14:paraId="40EAB27E" w14:textId="77777777" w:rsidR="008B6CA2" w:rsidRDefault="00D01955" w:rsidP="008B6CA2">
      <w:pPr>
        <w:jc w:val="both"/>
        <w:rPr>
          <w:rFonts w:ascii="Times New Roman" w:hAnsi="Times New Roman"/>
          <w:sz w:val="24"/>
          <w:szCs w:val="24"/>
        </w:rPr>
      </w:pPr>
      <w:r>
        <w:rPr>
          <w:rFonts w:ascii="Times New Roman" w:hAnsi="Times New Roman"/>
          <w:sz w:val="24"/>
          <w:szCs w:val="24"/>
        </w:rPr>
        <w:tab/>
        <w:t>Prokury</w:t>
      </w:r>
      <w:r w:rsidR="00C95CBE">
        <w:rPr>
          <w:rFonts w:ascii="Times New Roman" w:hAnsi="Times New Roman"/>
          <w:sz w:val="24"/>
          <w:szCs w:val="24"/>
        </w:rPr>
        <w:t xml:space="preserve"> te</w:t>
      </w:r>
      <w:r w:rsidR="008B6CA2">
        <w:rPr>
          <w:rFonts w:ascii="Times New Roman" w:hAnsi="Times New Roman"/>
          <w:sz w:val="24"/>
          <w:szCs w:val="24"/>
        </w:rPr>
        <w:t xml:space="preserve"> została nast</w:t>
      </w:r>
      <w:r>
        <w:rPr>
          <w:rFonts w:ascii="Times New Roman" w:hAnsi="Times New Roman"/>
          <w:sz w:val="24"/>
          <w:szCs w:val="24"/>
        </w:rPr>
        <w:t>ępnie udzielone</w:t>
      </w:r>
      <w:r w:rsidR="008B6CA2">
        <w:rPr>
          <w:rFonts w:ascii="Times New Roman" w:hAnsi="Times New Roman"/>
          <w:sz w:val="24"/>
          <w:szCs w:val="24"/>
        </w:rPr>
        <w:t xml:space="preserve"> przez członków A i B. Jednakże pół roku później, C został odwołany z zarządu przez wspólników. Mimo to, zawarł on w imieniu spółki umowę pożyczki, składając swój podpis jako członek zarządu. </w:t>
      </w:r>
    </w:p>
    <w:p w14:paraId="06CE5342" w14:textId="77777777" w:rsidR="00D01955" w:rsidRDefault="00D01955" w:rsidP="008B6CA2">
      <w:pPr>
        <w:jc w:val="both"/>
        <w:rPr>
          <w:rFonts w:ascii="Times New Roman" w:hAnsi="Times New Roman"/>
          <w:sz w:val="24"/>
          <w:szCs w:val="24"/>
        </w:rPr>
      </w:pPr>
      <w:r>
        <w:rPr>
          <w:rFonts w:ascii="Times New Roman" w:hAnsi="Times New Roman"/>
          <w:sz w:val="24"/>
          <w:szCs w:val="24"/>
        </w:rPr>
        <w:lastRenderedPageBreak/>
        <w:tab/>
        <w:t xml:space="preserve">W miejsce </w:t>
      </w:r>
      <w:r w:rsidR="00C0512E">
        <w:rPr>
          <w:rFonts w:ascii="Times New Roman" w:hAnsi="Times New Roman"/>
          <w:sz w:val="24"/>
          <w:szCs w:val="24"/>
        </w:rPr>
        <w:t>odwołanego członka zarządu C wspólnicy powołali uchwałą osobę D. Jednakże uchwała ta została zaskarżona przez jednego ze wspólników powództwem o stwierdzenie nieważności. Wspólnik ten uzyskał zabezpieczenie powództwa w postaci zawieszenia postępowania rejestrowego dotyczącego wpisu D do KRS jako członka zarząd</w:t>
      </w:r>
      <w:r w:rsidR="00EE3145">
        <w:rPr>
          <w:rFonts w:ascii="Times New Roman" w:hAnsi="Times New Roman"/>
          <w:sz w:val="24"/>
          <w:szCs w:val="24"/>
        </w:rPr>
        <w:t>u do czasu</w:t>
      </w:r>
      <w:r w:rsidR="00C0512E">
        <w:rPr>
          <w:rFonts w:ascii="Times New Roman" w:hAnsi="Times New Roman"/>
          <w:sz w:val="24"/>
          <w:szCs w:val="24"/>
        </w:rPr>
        <w:t xml:space="preserve"> prawomocnego rozstrzygnięcia sporu o ważność uchwały. W tym okresie członkowie zarządu A i B, działając łącznie, składali oświadczenia woli w imieniu spółki (podpisywali umowy, itp.). Skutecznie?</w:t>
      </w:r>
    </w:p>
    <w:p w14:paraId="345CC965" w14:textId="77777777" w:rsidR="000F2E92" w:rsidRDefault="000F2E92" w:rsidP="008B6CA2">
      <w:pPr>
        <w:jc w:val="both"/>
        <w:rPr>
          <w:rFonts w:ascii="Times New Roman" w:hAnsi="Times New Roman"/>
          <w:sz w:val="24"/>
          <w:szCs w:val="24"/>
        </w:rPr>
      </w:pPr>
      <w:r>
        <w:rPr>
          <w:rFonts w:ascii="Times New Roman" w:hAnsi="Times New Roman"/>
          <w:sz w:val="24"/>
          <w:szCs w:val="24"/>
        </w:rPr>
        <w:tab/>
        <w:t>Ponadto, członek zarządu A, działając wspólnie z</w:t>
      </w:r>
      <w:r w:rsidR="00501398">
        <w:rPr>
          <w:rFonts w:ascii="Times New Roman" w:hAnsi="Times New Roman"/>
          <w:sz w:val="24"/>
          <w:szCs w:val="24"/>
        </w:rPr>
        <w:t xml:space="preserve"> prokurentem Zofią O</w:t>
      </w:r>
      <w:r>
        <w:rPr>
          <w:rFonts w:ascii="Times New Roman" w:hAnsi="Times New Roman"/>
          <w:sz w:val="24"/>
          <w:szCs w:val="24"/>
        </w:rPr>
        <w:t>. (której udzieloną prokury łącznej właściwej), podpisał szereg umów w imieniu spółki. Skutecznie?</w:t>
      </w:r>
    </w:p>
    <w:p w14:paraId="66A6E6EE" w14:textId="77777777" w:rsidR="008B6CA2" w:rsidRDefault="008B6CA2" w:rsidP="008B6CA2">
      <w:pPr>
        <w:jc w:val="both"/>
        <w:rPr>
          <w:rFonts w:ascii="Times New Roman" w:hAnsi="Times New Roman"/>
          <w:i/>
          <w:sz w:val="24"/>
          <w:szCs w:val="24"/>
        </w:rPr>
      </w:pPr>
      <w:r w:rsidRPr="00F14F6C">
        <w:rPr>
          <w:rFonts w:ascii="Times New Roman" w:hAnsi="Times New Roman"/>
          <w:b/>
          <w:i/>
          <w:sz w:val="24"/>
          <w:szCs w:val="24"/>
        </w:rPr>
        <w:t>Zob. uchwałę SN z 23 sierpnia 2006 r., III CZP 68/2006</w:t>
      </w:r>
      <w:r w:rsidRPr="00F14F6C">
        <w:rPr>
          <w:rFonts w:ascii="Times New Roman" w:hAnsi="Times New Roman"/>
          <w:i/>
          <w:sz w:val="24"/>
          <w:szCs w:val="24"/>
        </w:rPr>
        <w:t xml:space="preserve"> (teza: Członek zarządu spółki z ograniczoną odpowiedzialnością, uprawniony umową spółki do jej reprezentowania łącznie z drugim członkiem zarządu, może być ustanowiony pełnomocnikiem do poszczególnych czynności.)</w:t>
      </w:r>
    </w:p>
    <w:p w14:paraId="2BF61DFE" w14:textId="77777777" w:rsidR="008B6CA2" w:rsidRDefault="008B6CA2" w:rsidP="008B6CA2">
      <w:pPr>
        <w:jc w:val="both"/>
        <w:rPr>
          <w:rFonts w:ascii="Times New Roman" w:hAnsi="Times New Roman"/>
          <w:i/>
          <w:sz w:val="24"/>
          <w:szCs w:val="24"/>
        </w:rPr>
      </w:pPr>
      <w:r w:rsidRPr="007D7B64">
        <w:rPr>
          <w:rFonts w:ascii="Times New Roman" w:hAnsi="Times New Roman"/>
          <w:b/>
          <w:i/>
          <w:sz w:val="24"/>
          <w:szCs w:val="24"/>
        </w:rPr>
        <w:t>Wyrok SN z 29.11. 2007 r., III CSK 169/2007</w:t>
      </w:r>
      <w:r w:rsidRPr="00695870">
        <w:rPr>
          <w:rFonts w:ascii="Times New Roman" w:hAnsi="Times New Roman"/>
          <w:i/>
          <w:sz w:val="24"/>
          <w:szCs w:val="24"/>
        </w:rPr>
        <w:t xml:space="preserve"> (teza: Umowa podpisana w imieniu spółki z ograniczoną odpowiedzialnością przez osobę umocowaną do jej zawarcia jako prokurent, działającą jednak jako zarząd tej spółki, lecz w jego skład niepowołaną, wiąże spółkę i jej kontrahenta.</w:t>
      </w:r>
      <w:r>
        <w:rPr>
          <w:rFonts w:ascii="Times New Roman" w:hAnsi="Times New Roman"/>
          <w:i/>
          <w:sz w:val="24"/>
          <w:szCs w:val="24"/>
        </w:rPr>
        <w:t>)</w:t>
      </w:r>
    </w:p>
    <w:p w14:paraId="1BE95179" w14:textId="77777777" w:rsidR="00C0512E" w:rsidRDefault="007E1669" w:rsidP="007E1669">
      <w:pPr>
        <w:jc w:val="both"/>
        <w:rPr>
          <w:rFonts w:ascii="Times New Roman" w:hAnsi="Times New Roman"/>
          <w:i/>
          <w:sz w:val="24"/>
          <w:szCs w:val="24"/>
        </w:rPr>
      </w:pPr>
      <w:r w:rsidRPr="007E1669">
        <w:rPr>
          <w:rFonts w:ascii="Times New Roman" w:hAnsi="Times New Roman"/>
          <w:b/>
          <w:i/>
          <w:sz w:val="24"/>
          <w:szCs w:val="24"/>
        </w:rPr>
        <w:t>Wyrok SN z 21.7.2010 r. (III CZP 49/10):</w:t>
      </w:r>
      <w:r>
        <w:rPr>
          <w:rFonts w:ascii="Times New Roman" w:hAnsi="Times New Roman"/>
          <w:i/>
          <w:sz w:val="24"/>
          <w:szCs w:val="24"/>
        </w:rPr>
        <w:t xml:space="preserve"> "</w:t>
      </w:r>
      <w:r w:rsidRPr="007E1669">
        <w:rPr>
          <w:rFonts w:ascii="Times New Roman" w:hAnsi="Times New Roman"/>
          <w:i/>
          <w:sz w:val="24"/>
          <w:szCs w:val="24"/>
        </w:rPr>
        <w:t>Dopuszczalne jest zabezpieczenie roszczenia o stwierdzenie nieważności uchwały wspólników spółki z ograniczoną odpowiedzialnością przez zawieszenie postępowania rejestrowego dotyczącego wpisu zmian na podstawie tej uchwały.</w:t>
      </w:r>
      <w:r>
        <w:rPr>
          <w:rFonts w:ascii="Times New Roman" w:hAnsi="Times New Roman"/>
          <w:i/>
          <w:sz w:val="24"/>
          <w:szCs w:val="24"/>
        </w:rPr>
        <w:t>" (Z uzasadnienia: "</w:t>
      </w:r>
      <w:r w:rsidRPr="007E1669">
        <w:rPr>
          <w:rFonts w:ascii="Times New Roman" w:hAnsi="Times New Roman"/>
          <w:i/>
          <w:sz w:val="24"/>
          <w:szCs w:val="24"/>
        </w:rPr>
        <w:t>W świetle art. 755 § 1 pkt 3 k.p.c., zawieszenie postępowania zmierzającego do dokonania takiego wpisu (postępowania rejestrowego) może więc być sposobem udzielenia zabezpieczenia</w:t>
      </w:r>
      <w:r>
        <w:rPr>
          <w:rFonts w:ascii="Times New Roman" w:hAnsi="Times New Roman"/>
          <w:i/>
          <w:sz w:val="24"/>
          <w:szCs w:val="24"/>
        </w:rPr>
        <w:t xml:space="preserve">. (...) </w:t>
      </w:r>
      <w:r w:rsidRPr="007E1669">
        <w:rPr>
          <w:rFonts w:ascii="Times New Roman" w:hAnsi="Times New Roman"/>
          <w:i/>
          <w:sz w:val="24"/>
          <w:szCs w:val="24"/>
        </w:rPr>
        <w:t xml:space="preserve">Okoliczność, że stosownie do art. 252 § 2 w związku z art. 249 § 2 </w:t>
      </w:r>
      <w:proofErr w:type="spellStart"/>
      <w:r w:rsidRPr="007E1669">
        <w:rPr>
          <w:rFonts w:ascii="Times New Roman" w:hAnsi="Times New Roman"/>
          <w:i/>
          <w:sz w:val="24"/>
          <w:szCs w:val="24"/>
        </w:rPr>
        <w:t>k.s.h</w:t>
      </w:r>
      <w:proofErr w:type="spellEnd"/>
      <w:r w:rsidRPr="007E1669">
        <w:rPr>
          <w:rFonts w:ascii="Times New Roman" w:hAnsi="Times New Roman"/>
          <w:i/>
          <w:sz w:val="24"/>
          <w:szCs w:val="24"/>
        </w:rPr>
        <w:t>. postępowanie rejestrowe może zawiesić sąd rejestrowy, nie wyłącza</w:t>
      </w:r>
      <w:r>
        <w:rPr>
          <w:rFonts w:ascii="Times New Roman" w:hAnsi="Times New Roman"/>
          <w:i/>
          <w:sz w:val="24"/>
          <w:szCs w:val="24"/>
        </w:rPr>
        <w:t xml:space="preserve"> </w:t>
      </w:r>
      <w:r w:rsidRPr="007E1669">
        <w:rPr>
          <w:rFonts w:ascii="Times New Roman" w:hAnsi="Times New Roman"/>
          <w:i/>
          <w:sz w:val="24"/>
          <w:szCs w:val="24"/>
        </w:rPr>
        <w:t>dopuszczalności zabezpieczenia roszczenia o stwierdzenie nieważności uchwały wspólników spółki z ograniczoną odpowiedzialnością przez zawieszenie postępowania rejestrowego.</w:t>
      </w:r>
      <w:r>
        <w:rPr>
          <w:rFonts w:ascii="Times New Roman" w:hAnsi="Times New Roman"/>
          <w:i/>
          <w:sz w:val="24"/>
          <w:szCs w:val="24"/>
        </w:rPr>
        <w:t>")</w:t>
      </w:r>
    </w:p>
    <w:p w14:paraId="60E74B46" w14:textId="77777777" w:rsidR="008B6CA2" w:rsidRDefault="008B6CA2" w:rsidP="008B6CA2">
      <w:pPr>
        <w:jc w:val="both"/>
        <w:rPr>
          <w:rFonts w:ascii="Times New Roman" w:hAnsi="Times New Roman"/>
          <w:i/>
          <w:sz w:val="24"/>
          <w:szCs w:val="24"/>
        </w:rPr>
      </w:pPr>
      <w:r w:rsidRPr="005B3BE4">
        <w:rPr>
          <w:rFonts w:ascii="Times New Roman" w:hAnsi="Times New Roman"/>
          <w:b/>
          <w:i/>
          <w:sz w:val="24"/>
          <w:szCs w:val="24"/>
        </w:rPr>
        <w:t xml:space="preserve">Postanowienie SN z </w:t>
      </w:r>
      <w:r>
        <w:rPr>
          <w:rFonts w:ascii="Times New Roman" w:hAnsi="Times New Roman"/>
          <w:b/>
          <w:i/>
          <w:sz w:val="24"/>
          <w:szCs w:val="24"/>
        </w:rPr>
        <w:t>11.3.</w:t>
      </w:r>
      <w:r w:rsidRPr="005B3BE4">
        <w:rPr>
          <w:rFonts w:ascii="Times New Roman" w:hAnsi="Times New Roman"/>
          <w:b/>
          <w:i/>
          <w:sz w:val="24"/>
          <w:szCs w:val="24"/>
        </w:rPr>
        <w:t>2010 r. IV CSK 413/09:</w:t>
      </w:r>
      <w:r>
        <w:rPr>
          <w:rFonts w:ascii="Times New Roman" w:hAnsi="Times New Roman"/>
          <w:i/>
          <w:sz w:val="24"/>
          <w:szCs w:val="24"/>
        </w:rPr>
        <w:t xml:space="preserve"> </w:t>
      </w:r>
      <w:r w:rsidRPr="005B3BE4">
        <w:rPr>
          <w:rFonts w:ascii="Times New Roman" w:hAnsi="Times New Roman"/>
          <w:i/>
          <w:sz w:val="24"/>
          <w:szCs w:val="24"/>
        </w:rPr>
        <w:t>Pomimo różnic konstrukcyjnych między działaniem organu osoby prawnej (art. 38 k.c.) a działaniem pełnomocnika takiej osoby (art. 95 i 96 k.c.) istotną wspólną cechą obu instytucji jest to, że zarówno skutki prawne działania osoby pełniącej funkcję organu, jak i skutki działania pełnomocnika przypisywane są reprezentowanej osobie prawnej; innymi słowy, zarówno osoba pełniąca funkcję organu osoby prawnej, jak i pełnomocnik takiej osoby działają w imieniu osoby prawnej. Konkludując, trzeba przyjąć, że przepisy art. 103 § 1 i 2 k.c. stosuje się w drodze analogii także wtedy, gdy zawierający umowę w imieniu osoby prawnej jako jej organ nie jest nim albo przekracza zakres umocowania takiego organu.</w:t>
      </w:r>
    </w:p>
    <w:p w14:paraId="243F9EBD" w14:textId="77777777" w:rsidR="004A2544" w:rsidRPr="004A2544" w:rsidRDefault="004A2544" w:rsidP="004A2544">
      <w:pPr>
        <w:jc w:val="both"/>
        <w:rPr>
          <w:rFonts w:ascii="Times New Roman" w:hAnsi="Times New Roman"/>
          <w:i/>
          <w:sz w:val="24"/>
          <w:szCs w:val="24"/>
        </w:rPr>
      </w:pPr>
      <w:r w:rsidRPr="004A2544">
        <w:rPr>
          <w:rFonts w:ascii="Times New Roman" w:eastAsia="Times New Roman" w:hAnsi="Times New Roman"/>
          <w:b/>
          <w:bCs/>
          <w:i/>
          <w:sz w:val="24"/>
          <w:szCs w:val="24"/>
          <w:lang w:eastAsia="pl-PL"/>
        </w:rPr>
        <w:t xml:space="preserve">Uchwała z dnia 27 kwietnia 2001 r., III CZP 6/01: </w:t>
      </w:r>
      <w:r>
        <w:rPr>
          <w:rFonts w:ascii="Times New Roman" w:eastAsia="Times New Roman" w:hAnsi="Times New Roman"/>
          <w:b/>
          <w:bCs/>
          <w:i/>
          <w:sz w:val="24"/>
          <w:szCs w:val="24"/>
          <w:lang w:eastAsia="pl-PL"/>
        </w:rPr>
        <w:t>„</w:t>
      </w:r>
      <w:r w:rsidRPr="004A2544">
        <w:rPr>
          <w:rFonts w:ascii="Times New Roman" w:eastAsia="Times New Roman" w:hAnsi="Times New Roman"/>
          <w:bCs/>
          <w:i/>
          <w:sz w:val="24"/>
          <w:szCs w:val="24"/>
          <w:lang w:eastAsia="pl-PL"/>
        </w:rPr>
        <w:t>Dopuszczalne jest udzielenie prokury jednej osobie z zastrzeżeniem, że może ona działać tylko łącznie z członkiem zarządu spółki lub wspólnikiem.</w:t>
      </w:r>
      <w:r>
        <w:rPr>
          <w:rFonts w:ascii="Times New Roman" w:eastAsia="Times New Roman" w:hAnsi="Times New Roman"/>
          <w:bCs/>
          <w:i/>
          <w:sz w:val="24"/>
          <w:szCs w:val="24"/>
          <w:lang w:eastAsia="pl-PL"/>
        </w:rPr>
        <w:t xml:space="preserve">” (Z uzasadnienia: </w:t>
      </w:r>
      <w:r w:rsidR="008442AC">
        <w:rPr>
          <w:rFonts w:ascii="Times New Roman" w:eastAsia="Times New Roman" w:hAnsi="Times New Roman"/>
          <w:bCs/>
          <w:i/>
          <w:sz w:val="24"/>
          <w:szCs w:val="24"/>
          <w:lang w:eastAsia="pl-PL"/>
        </w:rPr>
        <w:t>„</w:t>
      </w:r>
      <w:r w:rsidRPr="004A2544">
        <w:rPr>
          <w:rFonts w:ascii="Times New Roman" w:eastAsia="Times New Roman" w:hAnsi="Times New Roman"/>
          <w:bCs/>
          <w:i/>
          <w:sz w:val="24"/>
          <w:szCs w:val="24"/>
          <w:lang w:eastAsia="pl-PL"/>
        </w:rPr>
        <w:t xml:space="preserve">W pewnych okolicznościach, np. gdy spółka, tak jak w niniejszej sprawie, ma dwuosobowy zarząd i mają ją reprezentować łącznie bądź obaj </w:t>
      </w:r>
      <w:r w:rsidR="008442AC">
        <w:rPr>
          <w:rFonts w:ascii="Times New Roman" w:eastAsia="Times New Roman" w:hAnsi="Times New Roman"/>
          <w:bCs/>
          <w:i/>
          <w:sz w:val="24"/>
          <w:szCs w:val="24"/>
          <w:lang w:eastAsia="pl-PL"/>
        </w:rPr>
        <w:t xml:space="preserve"> </w:t>
      </w:r>
      <w:r w:rsidRPr="004A2544">
        <w:rPr>
          <w:rFonts w:ascii="Times New Roman" w:eastAsia="Times New Roman" w:hAnsi="Times New Roman"/>
          <w:bCs/>
          <w:i/>
          <w:sz w:val="24"/>
          <w:szCs w:val="24"/>
          <w:lang w:eastAsia="pl-PL"/>
        </w:rPr>
        <w:t xml:space="preserve">członkowie zarządu bądź jeden z nich wraz z prokurentem, udzielenie prokury może być </w:t>
      </w:r>
      <w:r w:rsidRPr="004A2544">
        <w:rPr>
          <w:rFonts w:ascii="Times New Roman" w:eastAsia="Times New Roman" w:hAnsi="Times New Roman"/>
          <w:bCs/>
          <w:i/>
          <w:sz w:val="24"/>
          <w:szCs w:val="24"/>
          <w:lang w:eastAsia="pl-PL"/>
        </w:rPr>
        <w:lastRenderedPageBreak/>
        <w:t xml:space="preserve">niezbędne dla sprawnego funkcjonowania spółki w wypadkach choroby członka zarządu, jego urlopu itp. Jednocześnie zaś wzgląd na bezpieczeństwo spółki może sprzeciwiać się udzieleniu prokury samodzielnej jednej osobie, a wzgląd na koszty - udzieleniu prokury łącznej dwóm osobom. Niedopuszczenie </w:t>
      </w:r>
      <w:r w:rsidR="008442AC">
        <w:rPr>
          <w:rFonts w:ascii="Times New Roman" w:eastAsia="Times New Roman" w:hAnsi="Times New Roman"/>
          <w:bCs/>
          <w:i/>
          <w:sz w:val="24"/>
          <w:szCs w:val="24"/>
          <w:lang w:eastAsia="pl-PL"/>
        </w:rPr>
        <w:t>u</w:t>
      </w:r>
      <w:r w:rsidRPr="004A2544">
        <w:rPr>
          <w:rFonts w:ascii="Times New Roman" w:eastAsia="Times New Roman" w:hAnsi="Times New Roman"/>
          <w:bCs/>
          <w:i/>
          <w:sz w:val="24"/>
          <w:szCs w:val="24"/>
          <w:lang w:eastAsia="pl-PL"/>
        </w:rPr>
        <w:t>dzielenia prokury z wspomnianym zastrzeżeniem uniemożliwiałoby zatem w niektórych sytuacjach właściwe funkcjonowanie reprezentacji spółki przez utrudnienie korzystania z reprezentacji mieszanej. Jeżeli zaś ustawodawca umożliwia reprezentację mieszaną, wolno zakładać, że akceptuje on także jej optymalne wykorzystanie przez dopuszczenie udzielenia prokury z zastrzeżeniem, o którym mowa.</w:t>
      </w:r>
      <w:r w:rsidR="008442AC">
        <w:rPr>
          <w:rFonts w:ascii="Times New Roman" w:eastAsia="Times New Roman" w:hAnsi="Times New Roman"/>
          <w:bCs/>
          <w:i/>
          <w:sz w:val="24"/>
          <w:szCs w:val="24"/>
          <w:lang w:eastAsia="pl-PL"/>
        </w:rPr>
        <w:t>”)</w:t>
      </w:r>
      <w:r>
        <w:rPr>
          <w:rFonts w:ascii="Times New Roman" w:eastAsia="Times New Roman" w:hAnsi="Times New Roman"/>
          <w:bCs/>
          <w:i/>
          <w:sz w:val="24"/>
          <w:szCs w:val="24"/>
          <w:lang w:eastAsia="pl-PL"/>
        </w:rPr>
        <w:t xml:space="preserve"> </w:t>
      </w:r>
    </w:p>
    <w:p w14:paraId="37B97820" w14:textId="77777777" w:rsidR="00E60DDD" w:rsidRDefault="00E60DDD" w:rsidP="00E60DDD">
      <w:pPr>
        <w:jc w:val="both"/>
        <w:rPr>
          <w:rFonts w:ascii="Times New Roman" w:hAnsi="Times New Roman"/>
          <w:i/>
          <w:sz w:val="24"/>
          <w:szCs w:val="24"/>
        </w:rPr>
      </w:pPr>
      <w:r w:rsidRPr="00D71417">
        <w:rPr>
          <w:rFonts w:ascii="Times New Roman" w:hAnsi="Times New Roman"/>
          <w:b/>
          <w:i/>
          <w:sz w:val="24"/>
          <w:szCs w:val="24"/>
        </w:rPr>
        <w:t>Uchwała 7 Sędziów SN z 30 stycznia 2015 r. (III CZP 34/14)</w:t>
      </w:r>
      <w:r w:rsidR="004A2544">
        <w:rPr>
          <w:rFonts w:ascii="Times New Roman" w:hAnsi="Times New Roman"/>
          <w:i/>
          <w:sz w:val="24"/>
          <w:szCs w:val="24"/>
        </w:rPr>
        <w:t>: „</w:t>
      </w:r>
      <w:r w:rsidRPr="00D71417">
        <w:rPr>
          <w:rFonts w:ascii="Times New Roman" w:hAnsi="Times New Roman"/>
          <w:i/>
          <w:sz w:val="24"/>
          <w:szCs w:val="24"/>
        </w:rPr>
        <w:t>Niedopuszczalny jest wpis do rejestru przedsiębiorców w Krajowym Rejestrze Sądowym jednego prokurenta z zastrzeżeniem, że może on działać tylko łącznie z członkiem zarządu.</w:t>
      </w:r>
      <w:r w:rsidR="004A2544">
        <w:rPr>
          <w:rFonts w:ascii="Times New Roman" w:hAnsi="Times New Roman"/>
          <w:i/>
          <w:sz w:val="24"/>
          <w:szCs w:val="24"/>
        </w:rPr>
        <w:t>”</w:t>
      </w:r>
      <w:r>
        <w:rPr>
          <w:rFonts w:ascii="Times New Roman" w:hAnsi="Times New Roman"/>
          <w:i/>
          <w:sz w:val="24"/>
          <w:szCs w:val="24"/>
        </w:rPr>
        <w:t xml:space="preserve"> (Z uzasadnienia: "</w:t>
      </w:r>
      <w:r w:rsidRPr="00D71417">
        <w:rPr>
          <w:rFonts w:ascii="Times New Roman" w:hAnsi="Times New Roman"/>
          <w:i/>
          <w:sz w:val="24"/>
          <w:szCs w:val="24"/>
        </w:rPr>
        <w:t>Pozbawione sensu byłoby udzielanie prokury członkowi zarządu, gdyż to co uzyskiwałby na mocy prokury i tak wchodzi w zakres jego uprawnień do reprezentowania spółki. Podobne argumenty przemawiają, przeciwko udzielaniu prokury wspólnikowi handlowej spółki osobowej, któremu przysługuje uprawnienie do reprezentacji spółki</w:t>
      </w:r>
      <w:r>
        <w:rPr>
          <w:rFonts w:ascii="Times New Roman" w:hAnsi="Times New Roman"/>
          <w:i/>
          <w:sz w:val="24"/>
          <w:szCs w:val="24"/>
        </w:rPr>
        <w:t xml:space="preserve">." (...) </w:t>
      </w:r>
      <w:r w:rsidRPr="006E2F4C">
        <w:rPr>
          <w:rFonts w:ascii="Times New Roman" w:hAnsi="Times New Roman"/>
          <w:i/>
          <w:sz w:val="24"/>
          <w:szCs w:val="24"/>
        </w:rPr>
        <w:t>To, że w art. 109</w:t>
      </w:r>
      <w:r w:rsidRPr="006E2F4C">
        <w:rPr>
          <w:rFonts w:ascii="Times New Roman" w:hAnsi="Times New Roman"/>
          <w:i/>
          <w:sz w:val="24"/>
          <w:szCs w:val="24"/>
          <w:vertAlign w:val="superscript"/>
        </w:rPr>
        <w:t>4</w:t>
      </w:r>
      <w:r w:rsidRPr="006E2F4C">
        <w:rPr>
          <w:rFonts w:ascii="Times New Roman" w:hAnsi="Times New Roman"/>
          <w:i/>
          <w:sz w:val="24"/>
          <w:szCs w:val="24"/>
        </w:rPr>
        <w:t xml:space="preserve"> k.c. nie wspomina się, iż przedsiębiorca udziela prokury prokurentowi nie upoważnia do przyjęcia, że drugą osobą w prokurze łącznej może być inna osoba niż prokurent</w:t>
      </w:r>
      <w:r>
        <w:rPr>
          <w:rFonts w:ascii="Times New Roman" w:hAnsi="Times New Roman"/>
          <w:i/>
          <w:sz w:val="24"/>
          <w:szCs w:val="24"/>
        </w:rPr>
        <w:t xml:space="preserve">. (...) </w:t>
      </w:r>
      <w:r w:rsidRPr="006E2F4C">
        <w:rPr>
          <w:rFonts w:ascii="Times New Roman" w:hAnsi="Times New Roman"/>
          <w:i/>
          <w:sz w:val="24"/>
          <w:szCs w:val="24"/>
        </w:rPr>
        <w:t>Należy zauważyć, że określony w ustawie sposób reprezentacji spółki kapitałowej może być modyfikowany, jest to jednak możliwe tylko w umowie spółki lub w statucie. Ustawa nie dopuszcza modyfikacji zasad reprezentacji spółki przez oświadczenie woli</w:t>
      </w:r>
      <w:r>
        <w:rPr>
          <w:rFonts w:ascii="Times New Roman" w:hAnsi="Times New Roman"/>
          <w:i/>
          <w:sz w:val="24"/>
          <w:szCs w:val="24"/>
        </w:rPr>
        <w:t xml:space="preserve"> członka lub członków zarządu. (...) </w:t>
      </w:r>
      <w:r w:rsidRPr="006E2F4C">
        <w:rPr>
          <w:rFonts w:ascii="Times New Roman" w:hAnsi="Times New Roman"/>
          <w:i/>
          <w:sz w:val="24"/>
          <w:szCs w:val="24"/>
        </w:rPr>
        <w:t>Takie ograniczenie prokury byłoby o wiele dalej idące niż ograniczenie zakresu przedmiotowego prokury, o którym mowa w art. 109</w:t>
      </w:r>
      <w:r w:rsidRPr="006E2F4C">
        <w:rPr>
          <w:rFonts w:ascii="Times New Roman" w:hAnsi="Times New Roman"/>
          <w:i/>
          <w:sz w:val="24"/>
          <w:szCs w:val="24"/>
          <w:vertAlign w:val="superscript"/>
        </w:rPr>
        <w:t>1</w:t>
      </w:r>
      <w:r w:rsidRPr="006E2F4C">
        <w:rPr>
          <w:rFonts w:ascii="Times New Roman" w:hAnsi="Times New Roman"/>
          <w:i/>
          <w:sz w:val="24"/>
          <w:szCs w:val="24"/>
        </w:rPr>
        <w:t xml:space="preserve"> § 2 k.c. Prokurent nie mógłby bowiem dokonać żadnej czynności bez zgody członka zarządu. Dlatego powinno</w:t>
      </w:r>
      <w:r>
        <w:rPr>
          <w:rFonts w:ascii="Times New Roman" w:hAnsi="Times New Roman"/>
          <w:i/>
          <w:sz w:val="24"/>
          <w:szCs w:val="24"/>
        </w:rPr>
        <w:t xml:space="preserve"> </w:t>
      </w:r>
      <w:r w:rsidRPr="006E2F4C">
        <w:rPr>
          <w:rFonts w:ascii="Times New Roman" w:hAnsi="Times New Roman"/>
          <w:i/>
          <w:sz w:val="24"/>
          <w:szCs w:val="24"/>
        </w:rPr>
        <w:t>ono także być uznane za bezskuteczne wobec osób trzecich na podstawie art. 109</w:t>
      </w:r>
      <w:r w:rsidRPr="006E2F4C">
        <w:rPr>
          <w:rFonts w:ascii="Times New Roman" w:hAnsi="Times New Roman"/>
          <w:i/>
          <w:sz w:val="24"/>
          <w:szCs w:val="24"/>
          <w:vertAlign w:val="superscript"/>
        </w:rPr>
        <w:t>1</w:t>
      </w:r>
      <w:r w:rsidRPr="006E2F4C">
        <w:rPr>
          <w:rFonts w:ascii="Times New Roman" w:hAnsi="Times New Roman"/>
          <w:i/>
          <w:sz w:val="24"/>
          <w:szCs w:val="24"/>
        </w:rPr>
        <w:t xml:space="preserve"> § 2 k.c.</w:t>
      </w:r>
      <w:r>
        <w:rPr>
          <w:rFonts w:ascii="Times New Roman" w:hAnsi="Times New Roman"/>
          <w:i/>
          <w:sz w:val="24"/>
          <w:szCs w:val="24"/>
        </w:rPr>
        <w:t xml:space="preserve"> (...) </w:t>
      </w:r>
      <w:r w:rsidRPr="00271CC9">
        <w:rPr>
          <w:rFonts w:ascii="Times New Roman" w:hAnsi="Times New Roman"/>
          <w:i/>
          <w:sz w:val="24"/>
          <w:szCs w:val="24"/>
        </w:rPr>
        <w:t>Za dopuszczalne na mocy art. 38 k.c. należy uznać określenie w umowie (statucie) spółki takiego sposób reprezentacji spółki, że oświadczenie woli w imieniu spółki może złożyć jeden z prokurentów łącznych i członek zarządu. Tylko taka prokura łączna mieszana jest dopuszczalna na tle przepisów kodeksu cywilnego i kodeksu spółek handlowych</w:t>
      </w:r>
      <w:r>
        <w:rPr>
          <w:rFonts w:ascii="Times New Roman" w:hAnsi="Times New Roman"/>
          <w:i/>
          <w:sz w:val="24"/>
          <w:szCs w:val="24"/>
        </w:rPr>
        <w:t>.(...)")</w:t>
      </w:r>
    </w:p>
    <w:p w14:paraId="614237B1" w14:textId="77777777" w:rsidR="008442AC" w:rsidRPr="008442AC" w:rsidRDefault="008442AC" w:rsidP="00E60DDD">
      <w:pPr>
        <w:jc w:val="both"/>
        <w:rPr>
          <w:rFonts w:ascii="Times New Roman" w:hAnsi="Times New Roman"/>
          <w:sz w:val="24"/>
          <w:szCs w:val="24"/>
        </w:rPr>
      </w:pPr>
      <w:r w:rsidRPr="008442AC">
        <w:rPr>
          <w:rFonts w:ascii="Times New Roman" w:hAnsi="Times New Roman"/>
          <w:b/>
          <w:sz w:val="24"/>
          <w:szCs w:val="24"/>
        </w:rPr>
        <w:t>AKTUALNIE</w:t>
      </w:r>
      <w:r>
        <w:rPr>
          <w:rFonts w:ascii="Times New Roman" w:hAnsi="Times New Roman"/>
          <w:sz w:val="24"/>
          <w:szCs w:val="24"/>
        </w:rPr>
        <w:t>:</w:t>
      </w:r>
    </w:p>
    <w:p w14:paraId="445F79DC" w14:textId="77777777" w:rsidR="00F21160" w:rsidRDefault="00F21160" w:rsidP="00F21160">
      <w:pPr>
        <w:spacing w:before="80" w:after="80"/>
        <w:jc w:val="both"/>
        <w:rPr>
          <w:rFonts w:ascii="Times New Roman" w:hAnsi="Times New Roman"/>
          <w:sz w:val="24"/>
          <w:szCs w:val="24"/>
        </w:rPr>
      </w:pPr>
      <w:r w:rsidRPr="00F21160">
        <w:rPr>
          <w:rFonts w:ascii="Times New Roman" w:hAnsi="Times New Roman"/>
          <w:sz w:val="24"/>
          <w:szCs w:val="24"/>
        </w:rPr>
        <w:t>Por. Art. 109</w:t>
      </w:r>
      <w:r w:rsidRPr="00F21160">
        <w:rPr>
          <w:rFonts w:ascii="Times New Roman" w:hAnsi="Times New Roman"/>
          <w:sz w:val="24"/>
          <w:szCs w:val="24"/>
          <w:vertAlign w:val="superscript"/>
        </w:rPr>
        <w:t>4</w:t>
      </w:r>
      <w:r w:rsidRPr="00F21160">
        <w:rPr>
          <w:rFonts w:ascii="Times New Roman" w:hAnsi="Times New Roman"/>
          <w:sz w:val="24"/>
          <w:szCs w:val="24"/>
        </w:rPr>
        <w:t>.</w:t>
      </w:r>
      <w:r>
        <w:rPr>
          <w:rFonts w:ascii="Times New Roman" w:hAnsi="Times New Roman"/>
          <w:sz w:val="24"/>
          <w:szCs w:val="24"/>
        </w:rPr>
        <w:t xml:space="preserve"> (w brzmieniu nadanym przez ustawę z 16.12.</w:t>
      </w:r>
      <w:r w:rsidRPr="00F21160">
        <w:rPr>
          <w:rFonts w:ascii="Times New Roman" w:hAnsi="Times New Roman"/>
          <w:sz w:val="24"/>
          <w:szCs w:val="24"/>
        </w:rPr>
        <w:t>2016 r. o zmianie niektórych ustaw w celu poprawy otoczenia prawnego przedsiębiorców (</w:t>
      </w:r>
      <w:proofErr w:type="spellStart"/>
      <w:r w:rsidRPr="00F21160">
        <w:rPr>
          <w:rFonts w:ascii="Times New Roman" w:hAnsi="Times New Roman"/>
          <w:sz w:val="24"/>
          <w:szCs w:val="24"/>
        </w:rPr>
        <w:t>DzU</w:t>
      </w:r>
      <w:proofErr w:type="spellEnd"/>
      <w:r w:rsidRPr="00F21160">
        <w:rPr>
          <w:rFonts w:ascii="Times New Roman" w:hAnsi="Times New Roman"/>
          <w:sz w:val="24"/>
          <w:szCs w:val="24"/>
        </w:rPr>
        <w:t>, poz</w:t>
      </w:r>
      <w:r>
        <w:rPr>
          <w:rFonts w:ascii="Times New Roman" w:hAnsi="Times New Roman"/>
          <w:sz w:val="24"/>
          <w:szCs w:val="24"/>
        </w:rPr>
        <w:t>. 2255), która weszła w życie 1.01.</w:t>
      </w:r>
      <w:r w:rsidRPr="00F21160">
        <w:rPr>
          <w:rFonts w:ascii="Times New Roman" w:hAnsi="Times New Roman"/>
          <w:sz w:val="24"/>
          <w:szCs w:val="24"/>
        </w:rPr>
        <w:t xml:space="preserve">2017 </w:t>
      </w:r>
      <w:r>
        <w:rPr>
          <w:rFonts w:ascii="Times New Roman" w:hAnsi="Times New Roman"/>
          <w:sz w:val="24"/>
          <w:szCs w:val="24"/>
        </w:rPr>
        <w:t>r.):</w:t>
      </w:r>
      <w:r w:rsidRPr="00F21160">
        <w:rPr>
          <w:rFonts w:ascii="Times New Roman" w:hAnsi="Times New Roman"/>
          <w:sz w:val="24"/>
          <w:szCs w:val="24"/>
        </w:rPr>
        <w:t xml:space="preserve"> </w:t>
      </w:r>
    </w:p>
    <w:p w14:paraId="1DD2D0BB" w14:textId="77777777" w:rsidR="00F21160" w:rsidRPr="00F21160" w:rsidRDefault="00F21160" w:rsidP="00F21160">
      <w:pPr>
        <w:spacing w:before="80" w:after="80"/>
        <w:jc w:val="both"/>
        <w:rPr>
          <w:rFonts w:ascii="Times New Roman" w:hAnsi="Times New Roman"/>
          <w:sz w:val="24"/>
          <w:szCs w:val="24"/>
        </w:rPr>
      </w:pPr>
      <w:r w:rsidRPr="00F21160">
        <w:rPr>
          <w:rFonts w:ascii="Times New Roman" w:hAnsi="Times New Roman"/>
          <w:sz w:val="24"/>
          <w:szCs w:val="24"/>
        </w:rPr>
        <w:t>§ 1. Prokura może być udzielona kilku osobom łącznie (prokura łączna) lub oddzielnie.</w:t>
      </w:r>
    </w:p>
    <w:p w14:paraId="3B9E4750" w14:textId="77777777" w:rsidR="00F21160" w:rsidRPr="00F21160" w:rsidRDefault="00F21160" w:rsidP="00F21160">
      <w:pPr>
        <w:spacing w:before="80" w:after="80"/>
        <w:jc w:val="both"/>
        <w:rPr>
          <w:rFonts w:ascii="Times New Roman" w:hAnsi="Times New Roman"/>
          <w:sz w:val="24"/>
          <w:szCs w:val="24"/>
        </w:rPr>
      </w:pPr>
      <w:r>
        <w:rPr>
          <w:rFonts w:ascii="Times New Roman" w:hAnsi="Times New Roman"/>
          <w:sz w:val="24"/>
          <w:szCs w:val="24"/>
        </w:rPr>
        <w:t>§ 1</w:t>
      </w:r>
      <w:r w:rsidRPr="00F21160">
        <w:rPr>
          <w:rFonts w:ascii="Times New Roman" w:hAnsi="Times New Roman"/>
          <w:sz w:val="24"/>
          <w:szCs w:val="24"/>
          <w:vertAlign w:val="superscript"/>
        </w:rPr>
        <w:t>1</w:t>
      </w:r>
      <w:r>
        <w:rPr>
          <w:rFonts w:ascii="Times New Roman" w:hAnsi="Times New Roman"/>
          <w:sz w:val="24"/>
          <w:szCs w:val="24"/>
        </w:rPr>
        <w:t>.</w:t>
      </w:r>
      <w:r w:rsidRPr="00F21160">
        <w:rPr>
          <w:rFonts w:ascii="Times New Roman" w:hAnsi="Times New Roman"/>
          <w:sz w:val="24"/>
          <w:szCs w:val="24"/>
        </w:rPr>
        <w:t xml:space="preserve"> Prokura może obejmować umocowanie także albo wyłącznie do dokonywania czynności wspólnie z członkiem organu zarządzającego lub wspólnikiem uprawnionym do reprezentowania handlowej spółki osobowej.</w:t>
      </w:r>
    </w:p>
    <w:p w14:paraId="42229670" w14:textId="77777777" w:rsidR="00BE3C21" w:rsidRPr="00F21160" w:rsidRDefault="00F21160" w:rsidP="00F21160">
      <w:pPr>
        <w:spacing w:before="80" w:after="80"/>
        <w:jc w:val="both"/>
        <w:rPr>
          <w:rFonts w:ascii="Times New Roman" w:hAnsi="Times New Roman"/>
          <w:sz w:val="24"/>
          <w:szCs w:val="24"/>
        </w:rPr>
      </w:pPr>
      <w:r>
        <w:rPr>
          <w:rFonts w:ascii="Times New Roman" w:hAnsi="Times New Roman"/>
          <w:sz w:val="24"/>
          <w:szCs w:val="24"/>
        </w:rPr>
        <w:t>§ 2.</w:t>
      </w:r>
      <w:r w:rsidRPr="00F21160">
        <w:rPr>
          <w:rFonts w:ascii="Times New Roman" w:hAnsi="Times New Roman"/>
          <w:sz w:val="24"/>
          <w:szCs w:val="24"/>
        </w:rPr>
        <w:t xml:space="preserve"> Kierowane do przedsiębiorcy oświadczenia lub doręczenia pism mogą być dokonywane wobec jednej z osób, którym udzielono prokury.</w:t>
      </w:r>
    </w:p>
    <w:p w14:paraId="43F22060" w14:textId="77777777" w:rsidR="00D45C9A" w:rsidRPr="00D45C9A" w:rsidRDefault="00D45C9A" w:rsidP="00D45C9A">
      <w:pPr>
        <w:spacing w:before="80" w:after="80"/>
        <w:jc w:val="both"/>
        <w:rPr>
          <w:rFonts w:ascii="Times New Roman" w:hAnsi="Times New Roman"/>
          <w:sz w:val="24"/>
          <w:szCs w:val="24"/>
        </w:rPr>
      </w:pPr>
      <w:r w:rsidRPr="00D45C9A">
        <w:rPr>
          <w:rFonts w:ascii="Times New Roman" w:hAnsi="Times New Roman"/>
          <w:sz w:val="24"/>
          <w:szCs w:val="24"/>
        </w:rPr>
        <w:t>Art. 109</w:t>
      </w:r>
      <w:r w:rsidRPr="00D45C9A">
        <w:rPr>
          <w:rFonts w:ascii="Times New Roman" w:hAnsi="Times New Roman"/>
          <w:sz w:val="24"/>
          <w:szCs w:val="24"/>
          <w:vertAlign w:val="superscript"/>
        </w:rPr>
        <w:t>8</w:t>
      </w:r>
      <w:r w:rsidRPr="00D45C9A">
        <w:rPr>
          <w:rFonts w:ascii="Times New Roman" w:hAnsi="Times New Roman"/>
          <w:sz w:val="24"/>
          <w:szCs w:val="24"/>
        </w:rPr>
        <w:t>. § 1. Udzielenie i wygaśnięcie prokury przedsiębiorca powinien zgłosić do rejestru przedsiębiorców.</w:t>
      </w:r>
    </w:p>
    <w:p w14:paraId="3AD0ECF9" w14:textId="77777777" w:rsidR="008442AC" w:rsidRPr="00D45C9A" w:rsidRDefault="00D45C9A" w:rsidP="00D45C9A">
      <w:pPr>
        <w:spacing w:before="80" w:after="80"/>
        <w:jc w:val="both"/>
        <w:rPr>
          <w:rFonts w:ascii="Times New Roman" w:hAnsi="Times New Roman"/>
          <w:sz w:val="24"/>
          <w:szCs w:val="24"/>
        </w:rPr>
      </w:pPr>
      <w:r w:rsidRPr="00D45C9A">
        <w:rPr>
          <w:rFonts w:ascii="Times New Roman" w:hAnsi="Times New Roman"/>
          <w:sz w:val="24"/>
          <w:szCs w:val="24"/>
        </w:rPr>
        <w:lastRenderedPageBreak/>
        <w:t xml:space="preserve">§ 2. Zgłoszenie o udzieleniu prokury powinno określać jej rodzaj, a w przypadku prokury łącznej oraz prokury, o </w:t>
      </w:r>
      <w:proofErr w:type="spellStart"/>
      <w:r w:rsidRPr="00D45C9A">
        <w:rPr>
          <w:rFonts w:ascii="Times New Roman" w:hAnsi="Times New Roman"/>
          <w:sz w:val="24"/>
          <w:szCs w:val="24"/>
        </w:rPr>
        <w:t>któ</w:t>
      </w:r>
      <w:proofErr w:type="spellEnd"/>
      <w:r w:rsidRPr="00D45C9A">
        <w:rPr>
          <w:rFonts w:ascii="Times New Roman" w:hAnsi="Times New Roman"/>
          <w:sz w:val="24"/>
          <w:szCs w:val="24"/>
        </w:rPr>
        <w:t>-rej mowa w art. 1094 § 11, także sposób jej wykonywania.</w:t>
      </w:r>
    </w:p>
    <w:p w14:paraId="7C1FEE16" w14:textId="77777777" w:rsidR="00F21160" w:rsidRDefault="00F21160" w:rsidP="00BE3C21">
      <w:pPr>
        <w:spacing w:before="80" w:after="80"/>
        <w:jc w:val="both"/>
        <w:rPr>
          <w:rFonts w:ascii="Times New Roman" w:hAnsi="Times New Roman"/>
          <w:b/>
          <w:sz w:val="24"/>
          <w:szCs w:val="24"/>
        </w:rPr>
      </w:pPr>
    </w:p>
    <w:p w14:paraId="6FFDB5D4" w14:textId="77777777" w:rsidR="00F21160" w:rsidRPr="00D45C9A" w:rsidRDefault="00D45C9A" w:rsidP="00BE3C21">
      <w:pPr>
        <w:spacing w:before="80" w:after="80"/>
        <w:jc w:val="both"/>
        <w:rPr>
          <w:rFonts w:ascii="Times New Roman" w:hAnsi="Times New Roman"/>
          <w:b/>
          <w:sz w:val="24"/>
          <w:szCs w:val="24"/>
        </w:rPr>
      </w:pPr>
      <w:r w:rsidRPr="00D45C9A">
        <w:rPr>
          <w:rFonts w:ascii="Times New Roman" w:hAnsi="Times New Roman"/>
          <w:b/>
          <w:i/>
          <w:sz w:val="24"/>
          <w:szCs w:val="24"/>
        </w:rPr>
        <w:t>De lege lata</w:t>
      </w:r>
      <w:r w:rsidRPr="00D45C9A">
        <w:rPr>
          <w:rFonts w:ascii="Times New Roman" w:hAnsi="Times New Roman"/>
          <w:b/>
          <w:sz w:val="24"/>
          <w:szCs w:val="24"/>
        </w:rPr>
        <w:t xml:space="preserve"> możliwe jest ustanowienie następujących rodzajów prokury: </w:t>
      </w:r>
    </w:p>
    <w:p w14:paraId="73357F52" w14:textId="77777777" w:rsidR="00D45C9A" w:rsidRPr="00D45C9A" w:rsidRDefault="00D45C9A" w:rsidP="00D45C9A">
      <w:pPr>
        <w:spacing w:before="80" w:after="80"/>
        <w:jc w:val="both"/>
        <w:rPr>
          <w:rFonts w:ascii="Times New Roman" w:hAnsi="Times New Roman"/>
          <w:sz w:val="24"/>
          <w:szCs w:val="24"/>
        </w:rPr>
      </w:pPr>
      <w:r>
        <w:rPr>
          <w:rFonts w:ascii="Times New Roman" w:hAnsi="Times New Roman"/>
          <w:sz w:val="24"/>
          <w:szCs w:val="24"/>
        </w:rPr>
        <w:tab/>
        <w:t>1) prokury samoistnej</w:t>
      </w:r>
      <w:r w:rsidRPr="00D45C9A">
        <w:rPr>
          <w:rFonts w:ascii="Times New Roman" w:hAnsi="Times New Roman"/>
          <w:sz w:val="24"/>
          <w:szCs w:val="24"/>
        </w:rPr>
        <w:t>,</w:t>
      </w:r>
    </w:p>
    <w:p w14:paraId="66626FFD" w14:textId="77777777" w:rsidR="00D45C9A" w:rsidRPr="00D45C9A" w:rsidRDefault="00D45C9A" w:rsidP="00D45C9A">
      <w:pPr>
        <w:spacing w:before="80" w:after="80"/>
        <w:jc w:val="both"/>
        <w:rPr>
          <w:rFonts w:ascii="Times New Roman" w:hAnsi="Times New Roman"/>
          <w:sz w:val="24"/>
          <w:szCs w:val="24"/>
        </w:rPr>
      </w:pPr>
      <w:r>
        <w:rPr>
          <w:rFonts w:ascii="Times New Roman" w:hAnsi="Times New Roman"/>
          <w:sz w:val="24"/>
          <w:szCs w:val="24"/>
        </w:rPr>
        <w:tab/>
        <w:t>2) prokury łącznej</w:t>
      </w:r>
      <w:r w:rsidRPr="00D45C9A">
        <w:rPr>
          <w:rFonts w:ascii="Times New Roman" w:hAnsi="Times New Roman"/>
          <w:sz w:val="24"/>
          <w:szCs w:val="24"/>
        </w:rPr>
        <w:t>, która upoważnia tylko do działania z innym prokurentem,</w:t>
      </w:r>
    </w:p>
    <w:p w14:paraId="696F18D8" w14:textId="77777777" w:rsidR="00D45C9A" w:rsidRPr="00D45C9A" w:rsidRDefault="00D45C9A" w:rsidP="00D45C9A">
      <w:pPr>
        <w:spacing w:before="80" w:after="80"/>
        <w:jc w:val="both"/>
        <w:rPr>
          <w:rFonts w:ascii="Times New Roman" w:hAnsi="Times New Roman"/>
          <w:sz w:val="24"/>
          <w:szCs w:val="24"/>
        </w:rPr>
      </w:pPr>
      <w:r>
        <w:rPr>
          <w:rFonts w:ascii="Times New Roman" w:hAnsi="Times New Roman"/>
          <w:sz w:val="24"/>
          <w:szCs w:val="24"/>
        </w:rPr>
        <w:tab/>
        <w:t>3) prokury łącznej</w:t>
      </w:r>
      <w:r w:rsidRPr="00D45C9A">
        <w:rPr>
          <w:rFonts w:ascii="Times New Roman" w:hAnsi="Times New Roman"/>
          <w:sz w:val="24"/>
          <w:szCs w:val="24"/>
        </w:rPr>
        <w:t>, upoważniającą do działania z innym prokurentem, oraz dodatkowo z członkiem organu zarządzającego lub wspólnikiem osobowej spółki handlowej,</w:t>
      </w:r>
    </w:p>
    <w:p w14:paraId="661911CC" w14:textId="77777777" w:rsidR="00D45C9A" w:rsidRDefault="00D45C9A" w:rsidP="00D45C9A">
      <w:pPr>
        <w:spacing w:before="80" w:after="80"/>
        <w:jc w:val="both"/>
        <w:rPr>
          <w:rFonts w:ascii="Times New Roman" w:hAnsi="Times New Roman"/>
          <w:sz w:val="24"/>
          <w:szCs w:val="24"/>
        </w:rPr>
      </w:pPr>
      <w:r>
        <w:rPr>
          <w:rFonts w:ascii="Times New Roman" w:hAnsi="Times New Roman"/>
          <w:sz w:val="24"/>
          <w:szCs w:val="24"/>
        </w:rPr>
        <w:tab/>
        <w:t>4) prokury swoiście łącznej (prokury łącznej niewłaściwej</w:t>
      </w:r>
      <w:r w:rsidRPr="00D45C9A">
        <w:rPr>
          <w:rFonts w:ascii="Times New Roman" w:hAnsi="Times New Roman"/>
          <w:sz w:val="24"/>
          <w:szCs w:val="24"/>
        </w:rPr>
        <w:t>), która upoważnia tylko do działania z członkiem organu zarządzającego lub wspólnikiem osobowej spółki handlowej.</w:t>
      </w:r>
    </w:p>
    <w:p w14:paraId="6ACCBE8F" w14:textId="77777777" w:rsidR="00D45C9A" w:rsidRDefault="00D45C9A" w:rsidP="00BE3C21">
      <w:pPr>
        <w:spacing w:before="80" w:after="80"/>
        <w:jc w:val="both"/>
        <w:rPr>
          <w:rFonts w:ascii="Times New Roman" w:hAnsi="Times New Roman"/>
          <w:sz w:val="24"/>
          <w:szCs w:val="24"/>
        </w:rPr>
      </w:pPr>
    </w:p>
    <w:p w14:paraId="4BB77307" w14:textId="77777777" w:rsidR="00A87D58" w:rsidRDefault="00A87D58" w:rsidP="00BE3C21">
      <w:pPr>
        <w:spacing w:before="80" w:after="80"/>
        <w:jc w:val="both"/>
        <w:rPr>
          <w:rFonts w:ascii="Times New Roman" w:hAnsi="Times New Roman"/>
          <w:sz w:val="24"/>
          <w:szCs w:val="24"/>
        </w:rPr>
      </w:pPr>
      <w:r w:rsidRPr="00A83424">
        <w:rPr>
          <w:rFonts w:ascii="Times New Roman" w:hAnsi="Times New Roman"/>
          <w:b/>
          <w:sz w:val="24"/>
          <w:szCs w:val="24"/>
        </w:rPr>
        <w:t xml:space="preserve">Kazus </w:t>
      </w:r>
      <w:r w:rsidR="00500366">
        <w:rPr>
          <w:rFonts w:ascii="Times New Roman" w:hAnsi="Times New Roman"/>
          <w:b/>
          <w:sz w:val="24"/>
          <w:szCs w:val="24"/>
        </w:rPr>
        <w:t>8</w:t>
      </w:r>
      <w:r w:rsidR="00A83424">
        <w:rPr>
          <w:rFonts w:ascii="Times New Roman" w:hAnsi="Times New Roman"/>
          <w:sz w:val="24"/>
          <w:szCs w:val="24"/>
        </w:rPr>
        <w:t xml:space="preserve"> </w:t>
      </w:r>
      <w:r>
        <w:rPr>
          <w:rFonts w:ascii="Times New Roman" w:hAnsi="Times New Roman"/>
          <w:sz w:val="24"/>
          <w:szCs w:val="24"/>
        </w:rPr>
        <w:t xml:space="preserve">(mandat i kadencja) </w:t>
      </w:r>
    </w:p>
    <w:p w14:paraId="57C4AFC7" w14:textId="77777777" w:rsidR="00A87D58" w:rsidRDefault="009E44E0" w:rsidP="00BE3C21">
      <w:pPr>
        <w:spacing w:before="80" w:after="80"/>
        <w:jc w:val="both"/>
        <w:rPr>
          <w:rFonts w:ascii="Times New Roman" w:hAnsi="Times New Roman"/>
          <w:sz w:val="24"/>
          <w:szCs w:val="24"/>
        </w:rPr>
      </w:pPr>
      <w:r>
        <w:rPr>
          <w:rFonts w:ascii="Times New Roman" w:hAnsi="Times New Roman"/>
          <w:sz w:val="24"/>
          <w:szCs w:val="24"/>
        </w:rPr>
        <w:t xml:space="preserve">a) </w:t>
      </w:r>
      <w:r w:rsidR="00F359D0">
        <w:rPr>
          <w:rFonts w:ascii="Times New Roman" w:hAnsi="Times New Roman"/>
          <w:sz w:val="24"/>
          <w:szCs w:val="24"/>
        </w:rPr>
        <w:t xml:space="preserve">Statut X-SA przewiduje, że członkowie zarządu są powoływani przez radę nadzorczą na oddzielną 3-letnią kadencję. Jan Z został powołany do zarządu w dniu </w:t>
      </w:r>
      <w:r w:rsidR="00F359D0" w:rsidRPr="00F359D0">
        <w:rPr>
          <w:rFonts w:ascii="Times New Roman" w:hAnsi="Times New Roman"/>
          <w:sz w:val="24"/>
          <w:szCs w:val="24"/>
        </w:rPr>
        <w:t>1.4.2014 r.,</w:t>
      </w:r>
      <w:r w:rsidR="00A83424">
        <w:rPr>
          <w:rFonts w:ascii="Times New Roman" w:hAnsi="Times New Roman"/>
          <w:sz w:val="24"/>
          <w:szCs w:val="24"/>
        </w:rPr>
        <w:t xml:space="preserve"> a </w:t>
      </w:r>
      <w:r w:rsidR="00CA2AA4">
        <w:rPr>
          <w:rFonts w:ascii="Times New Roman" w:hAnsi="Times New Roman"/>
          <w:sz w:val="24"/>
          <w:szCs w:val="24"/>
        </w:rPr>
        <w:t xml:space="preserve">Bożydar </w:t>
      </w:r>
      <w:r w:rsidR="00A83424">
        <w:rPr>
          <w:rFonts w:ascii="Times New Roman" w:hAnsi="Times New Roman"/>
          <w:sz w:val="24"/>
          <w:szCs w:val="24"/>
        </w:rPr>
        <w:t>K i Bożena L. – w dniu 1.10 2014 r. Kiedy wygasną ich mandaty</w:t>
      </w:r>
      <w:r w:rsidR="00364886">
        <w:rPr>
          <w:rFonts w:ascii="Times New Roman" w:hAnsi="Times New Roman"/>
          <w:sz w:val="24"/>
          <w:szCs w:val="24"/>
        </w:rPr>
        <w:t>?</w:t>
      </w:r>
      <w:r w:rsidR="00A83424">
        <w:rPr>
          <w:rFonts w:ascii="Times New Roman" w:hAnsi="Times New Roman"/>
          <w:sz w:val="24"/>
          <w:szCs w:val="24"/>
        </w:rPr>
        <w:t xml:space="preserve"> </w:t>
      </w:r>
    </w:p>
    <w:p w14:paraId="2F985623" w14:textId="77777777" w:rsidR="009E44E0" w:rsidRDefault="009E44E0" w:rsidP="00BE3C21">
      <w:pPr>
        <w:spacing w:before="80" w:after="80"/>
        <w:jc w:val="both"/>
        <w:rPr>
          <w:rFonts w:ascii="Times New Roman" w:hAnsi="Times New Roman"/>
          <w:sz w:val="24"/>
          <w:szCs w:val="24"/>
        </w:rPr>
      </w:pPr>
    </w:p>
    <w:p w14:paraId="022D4553" w14:textId="77777777" w:rsidR="00F359D0" w:rsidRDefault="009E44E0" w:rsidP="00BE3C21">
      <w:pPr>
        <w:spacing w:before="80" w:after="80"/>
        <w:jc w:val="both"/>
        <w:rPr>
          <w:rFonts w:ascii="Times New Roman" w:hAnsi="Times New Roman"/>
          <w:sz w:val="24"/>
          <w:szCs w:val="24"/>
        </w:rPr>
      </w:pPr>
      <w:r>
        <w:rPr>
          <w:rFonts w:ascii="Times New Roman" w:hAnsi="Times New Roman"/>
          <w:sz w:val="24"/>
          <w:szCs w:val="24"/>
        </w:rPr>
        <w:t xml:space="preserve">b) Umowa </w:t>
      </w:r>
      <w:r w:rsidR="00173DEE">
        <w:rPr>
          <w:rFonts w:ascii="Times New Roman" w:hAnsi="Times New Roman"/>
          <w:sz w:val="24"/>
          <w:szCs w:val="24"/>
        </w:rPr>
        <w:t>A-</w:t>
      </w:r>
      <w:r>
        <w:rPr>
          <w:rFonts w:ascii="Times New Roman" w:hAnsi="Times New Roman"/>
          <w:sz w:val="24"/>
          <w:szCs w:val="24"/>
        </w:rPr>
        <w:t xml:space="preserve">spółki </w:t>
      </w:r>
      <w:r w:rsidR="00173DEE">
        <w:rPr>
          <w:rFonts w:ascii="Times New Roman" w:hAnsi="Times New Roman"/>
          <w:sz w:val="24"/>
          <w:szCs w:val="24"/>
        </w:rPr>
        <w:t xml:space="preserve">z o.o. nie zawiera żadnych postanowień dotyczących kadencji i okresu sprawowania mandatów przez członków zarządu. </w:t>
      </w:r>
      <w:r w:rsidR="00D759D0">
        <w:rPr>
          <w:rFonts w:ascii="Times New Roman" w:hAnsi="Times New Roman"/>
          <w:sz w:val="24"/>
          <w:szCs w:val="24"/>
        </w:rPr>
        <w:t>Uchwałą wspólników z 10.09.2014 r. Jan B i Józef K zostali powołani do zarządu spółki na czas nieoznaczony, „aż do odwołania”</w:t>
      </w:r>
      <w:r w:rsidR="0096545C">
        <w:rPr>
          <w:rFonts w:ascii="Times New Roman" w:hAnsi="Times New Roman"/>
          <w:sz w:val="24"/>
          <w:szCs w:val="24"/>
        </w:rPr>
        <w:t>. W dniu 15.06.2016 r. odbyło się zwyczajne zgromadzenie wspólników zatwierdzające sprawozdanie finansowe za 2015 r. W dniu 15.08.2016 r. członkowie zarządu zawarli umowę, na podstawie której nabyli dla spółki linię produkcyjną. Ponieważ druga strona nie wywiązała się terminowo z tej umowy, wytoczyli wobec niej powództwo o naprawienie szkody. Druga strona twierdzi jednak, że umowa ta była nieważna, gdyż Jan B. i Józef K. w chwili jej zawarcia nie byli już członkami zarządu</w:t>
      </w:r>
      <w:r w:rsidR="00364886">
        <w:rPr>
          <w:rFonts w:ascii="Times New Roman" w:hAnsi="Times New Roman"/>
          <w:sz w:val="24"/>
          <w:szCs w:val="24"/>
        </w:rPr>
        <w:t xml:space="preserve"> wskutek wygaśnięcia ich mandatów. </w:t>
      </w:r>
      <w:r w:rsidR="0096545C">
        <w:rPr>
          <w:rFonts w:ascii="Times New Roman" w:hAnsi="Times New Roman"/>
          <w:sz w:val="24"/>
          <w:szCs w:val="24"/>
        </w:rPr>
        <w:t xml:space="preserve"> </w:t>
      </w:r>
    </w:p>
    <w:p w14:paraId="1DC93501" w14:textId="77777777" w:rsidR="009E44E0" w:rsidRDefault="009E44E0" w:rsidP="00BE3C21">
      <w:pPr>
        <w:spacing w:before="80" w:after="80"/>
        <w:jc w:val="both"/>
        <w:rPr>
          <w:rFonts w:ascii="Times New Roman" w:hAnsi="Times New Roman"/>
          <w:sz w:val="24"/>
          <w:szCs w:val="24"/>
        </w:rPr>
      </w:pPr>
    </w:p>
    <w:p w14:paraId="4B033584" w14:textId="77777777" w:rsidR="00364886" w:rsidRDefault="00364886" w:rsidP="00A3654B">
      <w:pPr>
        <w:spacing w:before="80" w:after="80"/>
        <w:jc w:val="both"/>
        <w:rPr>
          <w:rFonts w:ascii="Times New Roman" w:hAnsi="Times New Roman"/>
          <w:sz w:val="24"/>
          <w:szCs w:val="24"/>
        </w:rPr>
      </w:pPr>
      <w:r w:rsidRPr="00A3654B">
        <w:rPr>
          <w:rFonts w:ascii="Times New Roman" w:hAnsi="Times New Roman"/>
          <w:i/>
          <w:sz w:val="24"/>
          <w:szCs w:val="24"/>
        </w:rPr>
        <w:t xml:space="preserve">Zob. </w:t>
      </w:r>
      <w:r w:rsidR="00F17BB4" w:rsidRPr="00A3654B">
        <w:rPr>
          <w:rFonts w:ascii="Times New Roman" w:hAnsi="Times New Roman"/>
          <w:b/>
          <w:i/>
          <w:sz w:val="24"/>
          <w:szCs w:val="24"/>
        </w:rPr>
        <w:t>Uchwała SN z 24.11.2016 r. (III CZP 72/16):</w:t>
      </w:r>
      <w:r w:rsidR="00F17BB4" w:rsidRPr="00A3654B">
        <w:rPr>
          <w:rFonts w:ascii="Times New Roman" w:hAnsi="Times New Roman"/>
          <w:i/>
          <w:sz w:val="24"/>
          <w:szCs w:val="24"/>
        </w:rPr>
        <w:t xml:space="preserve"> </w:t>
      </w:r>
      <w:r w:rsidR="00A3654B" w:rsidRPr="00A3654B">
        <w:rPr>
          <w:rFonts w:ascii="Times New Roman" w:hAnsi="Times New Roman"/>
          <w:i/>
          <w:sz w:val="24"/>
          <w:szCs w:val="24"/>
        </w:rPr>
        <w:t xml:space="preserve">„Ostatnim pełnym rokiem obrotowym w rozumieniu art. 369 § 4 w związku z art. 386 § 2 </w:t>
      </w:r>
      <w:proofErr w:type="spellStart"/>
      <w:r w:rsidR="00A3654B" w:rsidRPr="00A3654B">
        <w:rPr>
          <w:rFonts w:ascii="Times New Roman" w:hAnsi="Times New Roman"/>
          <w:i/>
          <w:sz w:val="24"/>
          <w:szCs w:val="24"/>
        </w:rPr>
        <w:t>k.s.h</w:t>
      </w:r>
      <w:proofErr w:type="spellEnd"/>
      <w:r w:rsidR="00A3654B" w:rsidRPr="00A3654B">
        <w:rPr>
          <w:rFonts w:ascii="Times New Roman" w:hAnsi="Times New Roman"/>
          <w:i/>
          <w:sz w:val="24"/>
          <w:szCs w:val="24"/>
        </w:rPr>
        <w:t xml:space="preserve">. jest ostatni rok obrotowy, który rozpoczął się w czasie trwania kadencji członka rady nadzorczej spółki akcyjnej.” (z uzasadnienia: Wyrażenie „ostatni pełny rok obrotowy pełnienia funkcji członka rady nadzorczej” odnosić należy do ostatniego roku obrotowego, który rozpoczął się w czasie trwania kadencji, na jaką członek ten został powołany. (...). Dochodzi zatem do dłuższego sprawowania funkcji przez członka rady nadzorczej niż czas trwania kadencji, a podstawą tego uprawnienia jest stosunek członkostwa, który został nawiązany przez powołanie, ponieważ nie doszło do jego wygaśnięcia. Sąd Najwyższy uznał zatem, że miarodajną dla wyjaśnienia wątpliwości Sądu Okręgowego była wypracowana w doktrynie koncepcja prolongacyjna, której założenia najpełniej realizują wolę spółki wyrażoną w określeniu czasu trwania kadencji i powołaniu członków rady nadzorczej, chronią jej interesy, uwzględniają wszystkie aspekty wykładni art. 369 § 4 </w:t>
      </w:r>
      <w:proofErr w:type="spellStart"/>
      <w:r w:rsidR="00A3654B" w:rsidRPr="00A3654B">
        <w:rPr>
          <w:rFonts w:ascii="Times New Roman" w:hAnsi="Times New Roman"/>
          <w:i/>
          <w:sz w:val="24"/>
          <w:szCs w:val="24"/>
        </w:rPr>
        <w:t>k.s.h</w:t>
      </w:r>
      <w:proofErr w:type="spellEnd"/>
      <w:r w:rsidR="00A3654B" w:rsidRPr="00A3654B">
        <w:rPr>
          <w:rFonts w:ascii="Times New Roman" w:hAnsi="Times New Roman"/>
          <w:i/>
          <w:sz w:val="24"/>
          <w:szCs w:val="24"/>
        </w:rPr>
        <w:t xml:space="preserve">. oraz czynniki istotne dla określenia momentu wygaśnięcia mandatu. Nie zasługiwało na aprobatę założenie skrócenia okresu pełnienia </w:t>
      </w:r>
      <w:r w:rsidR="00A3654B" w:rsidRPr="00A3654B">
        <w:rPr>
          <w:rFonts w:ascii="Times New Roman" w:hAnsi="Times New Roman"/>
          <w:i/>
          <w:sz w:val="24"/>
          <w:szCs w:val="24"/>
        </w:rPr>
        <w:lastRenderedPageBreak/>
        <w:t xml:space="preserve">funkcji członka rady, ponieważ pomija, że do tego mogłoby dojść jedynie w razie zaistnienia jednego ze zdarzeń przewidzianych w ustawie, nie uwzględnia wyniku wykładni art. 369 § 4 </w:t>
      </w:r>
      <w:proofErr w:type="spellStart"/>
      <w:r w:rsidR="00A3654B" w:rsidRPr="00A3654B">
        <w:rPr>
          <w:rFonts w:ascii="Times New Roman" w:hAnsi="Times New Roman"/>
          <w:i/>
          <w:sz w:val="24"/>
          <w:szCs w:val="24"/>
        </w:rPr>
        <w:t>k.s.h</w:t>
      </w:r>
      <w:proofErr w:type="spellEnd"/>
      <w:r w:rsidR="00A3654B" w:rsidRPr="00A3654B">
        <w:rPr>
          <w:rFonts w:ascii="Times New Roman" w:hAnsi="Times New Roman"/>
          <w:i/>
          <w:sz w:val="24"/>
          <w:szCs w:val="24"/>
        </w:rPr>
        <w:t xml:space="preserve">. Rozwiązanie zakładające tożsamość czasową upływu kadencji i wygaśnięcia mandatu prowadzi do nieuzasadnionego zatarcia różnic pomiędzy nimi, nie bierze pod uwagę właściwego rozumienia art. 369 § 4 </w:t>
      </w:r>
      <w:proofErr w:type="spellStart"/>
      <w:r w:rsidR="00A3654B" w:rsidRPr="00A3654B">
        <w:rPr>
          <w:rFonts w:ascii="Times New Roman" w:hAnsi="Times New Roman"/>
          <w:i/>
          <w:sz w:val="24"/>
          <w:szCs w:val="24"/>
        </w:rPr>
        <w:t>k.s.h</w:t>
      </w:r>
      <w:proofErr w:type="spellEnd"/>
      <w:r w:rsidR="00A3654B" w:rsidRPr="00A3654B">
        <w:rPr>
          <w:rFonts w:ascii="Times New Roman" w:hAnsi="Times New Roman"/>
          <w:i/>
          <w:sz w:val="24"/>
          <w:szCs w:val="24"/>
        </w:rPr>
        <w:t>.”</w:t>
      </w:r>
      <w:r w:rsidR="00A3654B">
        <w:rPr>
          <w:rFonts w:ascii="Times New Roman" w:hAnsi="Times New Roman"/>
          <w:sz w:val="24"/>
          <w:szCs w:val="24"/>
        </w:rPr>
        <w:t>)</w:t>
      </w:r>
    </w:p>
    <w:p w14:paraId="5528E4BD" w14:textId="77777777" w:rsidR="00A3654B" w:rsidRPr="00801D51" w:rsidRDefault="00A3654B" w:rsidP="00A3654B">
      <w:pPr>
        <w:spacing w:before="80" w:after="80"/>
        <w:jc w:val="both"/>
        <w:rPr>
          <w:rFonts w:ascii="Times New Roman" w:hAnsi="Times New Roman"/>
          <w:i/>
          <w:sz w:val="24"/>
          <w:szCs w:val="24"/>
        </w:rPr>
      </w:pPr>
      <w:r w:rsidRPr="00801D51">
        <w:rPr>
          <w:rFonts w:ascii="Times New Roman" w:hAnsi="Times New Roman"/>
          <w:b/>
          <w:i/>
          <w:sz w:val="24"/>
          <w:szCs w:val="24"/>
        </w:rPr>
        <w:t>Uchwała SN z 21.07.2010 r. (III CZP 23/10):</w:t>
      </w:r>
      <w:r w:rsidRPr="00801D51">
        <w:rPr>
          <w:rFonts w:ascii="Times New Roman" w:hAnsi="Times New Roman"/>
          <w:i/>
          <w:sz w:val="24"/>
          <w:szCs w:val="24"/>
        </w:rPr>
        <w:t xml:space="preserve"> „Jeżeli umowa spółki nie stanowi inaczej, mandat członka zarządu wygasa w terminie przewidzianym w art. 202 § 1 </w:t>
      </w:r>
      <w:proofErr w:type="spellStart"/>
      <w:r w:rsidRPr="00801D51">
        <w:rPr>
          <w:rFonts w:ascii="Times New Roman" w:hAnsi="Times New Roman"/>
          <w:i/>
          <w:sz w:val="24"/>
          <w:szCs w:val="24"/>
        </w:rPr>
        <w:t>k.s.h</w:t>
      </w:r>
      <w:proofErr w:type="spellEnd"/>
      <w:r w:rsidRPr="00801D51">
        <w:rPr>
          <w:rFonts w:ascii="Times New Roman" w:hAnsi="Times New Roman"/>
          <w:i/>
          <w:sz w:val="24"/>
          <w:szCs w:val="24"/>
        </w:rPr>
        <w:t>. także wtedy, gdy według uchwały wspólników powołanie nastąpiło na czas nieokreślony.”</w:t>
      </w:r>
    </w:p>
    <w:p w14:paraId="1CDC140F" w14:textId="77777777" w:rsidR="00A3654B" w:rsidRPr="00801D51" w:rsidRDefault="00801D51" w:rsidP="00801D51">
      <w:pPr>
        <w:spacing w:before="80" w:after="80"/>
        <w:jc w:val="both"/>
        <w:rPr>
          <w:rFonts w:ascii="Times New Roman" w:hAnsi="Times New Roman"/>
          <w:i/>
          <w:sz w:val="24"/>
          <w:szCs w:val="24"/>
        </w:rPr>
      </w:pPr>
      <w:r w:rsidRPr="00BC39E5">
        <w:rPr>
          <w:rFonts w:ascii="Times New Roman" w:hAnsi="Times New Roman"/>
          <w:b/>
          <w:i/>
          <w:sz w:val="24"/>
          <w:szCs w:val="24"/>
        </w:rPr>
        <w:t>Wyrok SN z 29.04.2016 r. (I CSK 18/15):</w:t>
      </w:r>
      <w:r w:rsidRPr="00801D51">
        <w:rPr>
          <w:rFonts w:ascii="Times New Roman" w:hAnsi="Times New Roman"/>
          <w:i/>
          <w:sz w:val="24"/>
          <w:szCs w:val="24"/>
        </w:rPr>
        <w:t xml:space="preserve"> „</w:t>
      </w:r>
      <w:r w:rsidR="00BC39E5" w:rsidRPr="00BC39E5">
        <w:rPr>
          <w:rFonts w:ascii="Times New Roman" w:hAnsi="Times New Roman"/>
          <w:i/>
          <w:sz w:val="24"/>
          <w:szCs w:val="24"/>
        </w:rPr>
        <w:t xml:space="preserve">Jeżeli umowa nie stanowi inaczej, mandat członka zarządu wygasa w terminie przewidzianym w art. 202 § 1 </w:t>
      </w:r>
      <w:proofErr w:type="spellStart"/>
      <w:r w:rsidR="00BC39E5" w:rsidRPr="00BC39E5">
        <w:rPr>
          <w:rFonts w:ascii="Times New Roman" w:hAnsi="Times New Roman"/>
          <w:i/>
          <w:sz w:val="24"/>
          <w:szCs w:val="24"/>
        </w:rPr>
        <w:t>k.s.h</w:t>
      </w:r>
      <w:proofErr w:type="spellEnd"/>
      <w:r w:rsidR="00BC39E5" w:rsidRPr="00BC39E5">
        <w:rPr>
          <w:rFonts w:ascii="Times New Roman" w:hAnsi="Times New Roman"/>
          <w:i/>
          <w:sz w:val="24"/>
          <w:szCs w:val="24"/>
        </w:rPr>
        <w:t>., także wtedy, gdy według uchwały wspólników powołanie nastąpiło na czas nieokreślony.</w:t>
      </w:r>
      <w:r w:rsidR="00BC39E5">
        <w:rPr>
          <w:rFonts w:ascii="Times New Roman" w:hAnsi="Times New Roman"/>
          <w:i/>
          <w:sz w:val="24"/>
          <w:szCs w:val="24"/>
        </w:rPr>
        <w:t>”</w:t>
      </w:r>
    </w:p>
    <w:p w14:paraId="41FA3E6B" w14:textId="77777777" w:rsidR="00BA2E13" w:rsidRDefault="00BA2E13" w:rsidP="00BE3C21">
      <w:pPr>
        <w:spacing w:before="80" w:after="80"/>
        <w:jc w:val="both"/>
        <w:rPr>
          <w:rFonts w:ascii="Times New Roman" w:hAnsi="Times New Roman"/>
          <w:sz w:val="24"/>
          <w:szCs w:val="24"/>
        </w:rPr>
      </w:pPr>
    </w:p>
    <w:p w14:paraId="383966D6" w14:textId="77777777" w:rsidR="00A3654B" w:rsidRDefault="00BA2E13" w:rsidP="00BA2E13">
      <w:pPr>
        <w:spacing w:before="80" w:after="80"/>
        <w:jc w:val="both"/>
        <w:rPr>
          <w:rFonts w:ascii="Times New Roman" w:hAnsi="Times New Roman"/>
          <w:sz w:val="24"/>
          <w:szCs w:val="24"/>
        </w:rPr>
      </w:pPr>
      <w:r w:rsidRPr="00BA2E13">
        <w:rPr>
          <w:rFonts w:ascii="Times New Roman" w:hAnsi="Times New Roman"/>
          <w:b/>
          <w:i/>
          <w:sz w:val="24"/>
          <w:szCs w:val="24"/>
        </w:rPr>
        <w:t>Wyrok SN z 4.03.2015 r. (IV CSK 340/14):</w:t>
      </w:r>
      <w:r w:rsidRPr="00BA2E13">
        <w:rPr>
          <w:rFonts w:ascii="Times New Roman" w:hAnsi="Times New Roman"/>
          <w:sz w:val="24"/>
          <w:szCs w:val="24"/>
        </w:rPr>
        <w:t xml:space="preserve"> </w:t>
      </w:r>
      <w:r w:rsidRPr="00BA2E13">
        <w:rPr>
          <w:rFonts w:ascii="Times New Roman" w:hAnsi="Times New Roman"/>
          <w:i/>
          <w:sz w:val="24"/>
          <w:szCs w:val="24"/>
        </w:rPr>
        <w:t xml:space="preserve">W braku wyraźnej regulacji w umowie spółki z ograniczoną odpowiedzialnością, iż członkowie zarządu są powołani na czas nieoznaczony, przy jednoczesnym braku wskazania, że są oni powoływani na określoną tam kadencję (np. 3 lat), przepis art. 202 § 1 </w:t>
      </w:r>
      <w:proofErr w:type="spellStart"/>
      <w:r w:rsidRPr="00BA2E13">
        <w:rPr>
          <w:rFonts w:ascii="Times New Roman" w:hAnsi="Times New Roman"/>
          <w:i/>
          <w:sz w:val="24"/>
          <w:szCs w:val="24"/>
        </w:rPr>
        <w:t>k.s.h</w:t>
      </w:r>
      <w:proofErr w:type="spellEnd"/>
      <w:r w:rsidRPr="00BA2E13">
        <w:rPr>
          <w:rFonts w:ascii="Times New Roman" w:hAnsi="Times New Roman"/>
          <w:i/>
          <w:sz w:val="24"/>
          <w:szCs w:val="24"/>
        </w:rPr>
        <w:t>. wprowadza domniemanie, że kadencja członka zarządu trwa jeden rok. Oznacza to, że zarządcy muszą co roku poddać się weryfikacji wspólników. Wspólnicy nie</w:t>
      </w:r>
      <w:r>
        <w:rPr>
          <w:rFonts w:ascii="Times New Roman" w:hAnsi="Times New Roman"/>
          <w:i/>
          <w:sz w:val="24"/>
          <w:szCs w:val="24"/>
        </w:rPr>
        <w:t>zadowoleni z pracy zarządu nie „odnowią”</w:t>
      </w:r>
      <w:r w:rsidRPr="00BA2E13">
        <w:rPr>
          <w:rFonts w:ascii="Times New Roman" w:hAnsi="Times New Roman"/>
          <w:i/>
          <w:sz w:val="24"/>
          <w:szCs w:val="24"/>
        </w:rPr>
        <w:t xml:space="preserve"> mandatu członkom zarządu, których roczna kadencja się zakończyła.</w:t>
      </w:r>
    </w:p>
    <w:p w14:paraId="0D2B0307" w14:textId="77777777" w:rsidR="00BA2E13" w:rsidRDefault="00BA2E13" w:rsidP="00BE3C21">
      <w:pPr>
        <w:spacing w:before="80" w:after="80"/>
        <w:jc w:val="both"/>
        <w:rPr>
          <w:rFonts w:ascii="Times New Roman" w:hAnsi="Times New Roman"/>
          <w:sz w:val="24"/>
          <w:szCs w:val="24"/>
        </w:rPr>
      </w:pPr>
    </w:p>
    <w:p w14:paraId="461FCA81" w14:textId="77777777" w:rsidR="00A83424" w:rsidRPr="001B4665" w:rsidRDefault="00500366" w:rsidP="00BE3C21">
      <w:pPr>
        <w:spacing w:before="80" w:after="80"/>
        <w:jc w:val="both"/>
        <w:rPr>
          <w:rFonts w:ascii="Times New Roman" w:hAnsi="Times New Roman"/>
          <w:b/>
          <w:sz w:val="24"/>
          <w:szCs w:val="24"/>
        </w:rPr>
      </w:pPr>
      <w:r>
        <w:rPr>
          <w:rFonts w:ascii="Times New Roman" w:hAnsi="Times New Roman"/>
          <w:b/>
          <w:sz w:val="24"/>
          <w:szCs w:val="24"/>
        </w:rPr>
        <w:t>Kazus 9</w:t>
      </w:r>
      <w:r w:rsidR="00A83424" w:rsidRPr="001B4665">
        <w:rPr>
          <w:rFonts w:ascii="Times New Roman" w:hAnsi="Times New Roman"/>
          <w:b/>
          <w:sz w:val="24"/>
          <w:szCs w:val="24"/>
        </w:rPr>
        <w:t xml:space="preserve"> </w:t>
      </w:r>
    </w:p>
    <w:p w14:paraId="4CA8A216" w14:textId="77777777" w:rsidR="00CA2AA4" w:rsidRDefault="00CA2AA4" w:rsidP="00BE3C21">
      <w:pPr>
        <w:spacing w:before="80" w:after="80"/>
        <w:jc w:val="both"/>
        <w:rPr>
          <w:rFonts w:ascii="Times New Roman" w:hAnsi="Times New Roman"/>
          <w:sz w:val="24"/>
          <w:szCs w:val="24"/>
        </w:rPr>
      </w:pPr>
      <w:r>
        <w:rPr>
          <w:rFonts w:ascii="Times New Roman" w:hAnsi="Times New Roman"/>
          <w:sz w:val="24"/>
          <w:szCs w:val="24"/>
        </w:rPr>
        <w:t xml:space="preserve">Onufry Z. </w:t>
      </w:r>
      <w:r w:rsidR="00264AD2">
        <w:rPr>
          <w:rFonts w:ascii="Times New Roman" w:hAnsi="Times New Roman"/>
          <w:sz w:val="24"/>
          <w:szCs w:val="24"/>
        </w:rPr>
        <w:t xml:space="preserve">i Aniela B </w:t>
      </w:r>
      <w:r>
        <w:rPr>
          <w:rFonts w:ascii="Times New Roman" w:hAnsi="Times New Roman"/>
          <w:sz w:val="24"/>
          <w:szCs w:val="24"/>
        </w:rPr>
        <w:t>by</w:t>
      </w:r>
      <w:r w:rsidR="00264AD2">
        <w:rPr>
          <w:rFonts w:ascii="Times New Roman" w:hAnsi="Times New Roman"/>
          <w:sz w:val="24"/>
          <w:szCs w:val="24"/>
        </w:rPr>
        <w:t>li</w:t>
      </w:r>
      <w:r>
        <w:rPr>
          <w:rFonts w:ascii="Times New Roman" w:hAnsi="Times New Roman"/>
          <w:sz w:val="24"/>
          <w:szCs w:val="24"/>
        </w:rPr>
        <w:t xml:space="preserve"> człon</w:t>
      </w:r>
      <w:r w:rsidR="00264AD2">
        <w:rPr>
          <w:rFonts w:ascii="Times New Roman" w:hAnsi="Times New Roman"/>
          <w:sz w:val="24"/>
          <w:szCs w:val="24"/>
        </w:rPr>
        <w:t>kami</w:t>
      </w:r>
      <w:r>
        <w:rPr>
          <w:rFonts w:ascii="Times New Roman" w:hAnsi="Times New Roman"/>
          <w:sz w:val="24"/>
          <w:szCs w:val="24"/>
        </w:rPr>
        <w:t xml:space="preserve"> zarządu w X-spółce z o.o., powołanym na 3 letnią kadencję, przewidzianą w umowie spółki</w:t>
      </w:r>
      <w:r w:rsidR="00264AD2">
        <w:rPr>
          <w:rFonts w:ascii="Times New Roman" w:hAnsi="Times New Roman"/>
          <w:sz w:val="24"/>
          <w:szCs w:val="24"/>
        </w:rPr>
        <w:t xml:space="preserve">, uchwałą zgromadzenia wspólników podjętą </w:t>
      </w:r>
      <w:r w:rsidR="00014A21">
        <w:rPr>
          <w:rFonts w:ascii="Times New Roman" w:hAnsi="Times New Roman"/>
          <w:sz w:val="24"/>
          <w:szCs w:val="24"/>
        </w:rPr>
        <w:t>w dniu 10.07.2013 r.</w:t>
      </w:r>
      <w:r w:rsidR="00264AD2">
        <w:rPr>
          <w:rFonts w:ascii="Times New Roman" w:hAnsi="Times New Roman"/>
          <w:sz w:val="24"/>
          <w:szCs w:val="24"/>
        </w:rPr>
        <w:t>. Umowę menedżerską dotyczącą pełnienia funkcji członka zarządu, zawarł z nim</w:t>
      </w:r>
      <w:r w:rsidR="00014A21">
        <w:rPr>
          <w:rFonts w:ascii="Times New Roman" w:hAnsi="Times New Roman"/>
          <w:sz w:val="24"/>
          <w:szCs w:val="24"/>
        </w:rPr>
        <w:t>i, w dniu 13.07.2013 r.,</w:t>
      </w:r>
      <w:r w:rsidR="00264AD2">
        <w:rPr>
          <w:rFonts w:ascii="Times New Roman" w:hAnsi="Times New Roman"/>
          <w:sz w:val="24"/>
          <w:szCs w:val="24"/>
        </w:rPr>
        <w:t xml:space="preserve"> pełnomocnik </w:t>
      </w:r>
      <w:r w:rsidR="00014A21">
        <w:rPr>
          <w:rFonts w:ascii="Times New Roman" w:hAnsi="Times New Roman"/>
          <w:sz w:val="24"/>
          <w:szCs w:val="24"/>
        </w:rPr>
        <w:t>wybrany w tym celu przez wspólników. Po niecałym roku sprawowania funkcji</w:t>
      </w:r>
      <w:r w:rsidR="00777A98">
        <w:rPr>
          <w:rFonts w:ascii="Times New Roman" w:hAnsi="Times New Roman"/>
          <w:sz w:val="24"/>
          <w:szCs w:val="24"/>
        </w:rPr>
        <w:t>, w dniu 10.05.2014 r.,</w:t>
      </w:r>
      <w:r w:rsidR="00014A21">
        <w:rPr>
          <w:rFonts w:ascii="Times New Roman" w:hAnsi="Times New Roman"/>
          <w:sz w:val="24"/>
          <w:szCs w:val="24"/>
        </w:rPr>
        <w:t xml:space="preserve"> </w:t>
      </w:r>
      <w:r w:rsidR="00777A98">
        <w:rPr>
          <w:rFonts w:ascii="Times New Roman" w:hAnsi="Times New Roman"/>
          <w:sz w:val="24"/>
          <w:szCs w:val="24"/>
        </w:rPr>
        <w:t xml:space="preserve">Onufry Z. złożył rezygnację z funkcji członka zarządu składając oświadczenie woli na piśmie i wysyłając je listem poleconym na adres spółki. </w:t>
      </w:r>
      <w:r w:rsidR="00FC0C00">
        <w:rPr>
          <w:rFonts w:ascii="Times New Roman" w:hAnsi="Times New Roman"/>
          <w:sz w:val="24"/>
          <w:szCs w:val="24"/>
        </w:rPr>
        <w:t>Wspólnicy wybrali w jego miejsce nowego członka zarządu. Onufry Z. n</w:t>
      </w:r>
      <w:r w:rsidR="00F557BD">
        <w:rPr>
          <w:rFonts w:ascii="Times New Roman" w:hAnsi="Times New Roman"/>
          <w:sz w:val="24"/>
          <w:szCs w:val="24"/>
        </w:rPr>
        <w:t xml:space="preserve">ie został </w:t>
      </w:r>
      <w:r w:rsidR="00FC0C00">
        <w:rPr>
          <w:rFonts w:ascii="Times New Roman" w:hAnsi="Times New Roman"/>
          <w:sz w:val="24"/>
          <w:szCs w:val="24"/>
        </w:rPr>
        <w:t xml:space="preserve">jednak wykreślony z KRS. W dniu 6.05.2016 r. spółka stała sie niewypłacalna. Jej wierzyciele pozwali, na podstawie art. 299 </w:t>
      </w:r>
      <w:proofErr w:type="spellStart"/>
      <w:r w:rsidR="00FC0C00">
        <w:rPr>
          <w:rFonts w:ascii="Times New Roman" w:hAnsi="Times New Roman"/>
          <w:sz w:val="24"/>
          <w:szCs w:val="24"/>
        </w:rPr>
        <w:t>k.s.h</w:t>
      </w:r>
      <w:proofErr w:type="spellEnd"/>
      <w:r w:rsidR="00FC0C00">
        <w:rPr>
          <w:rFonts w:ascii="Times New Roman" w:hAnsi="Times New Roman"/>
          <w:sz w:val="24"/>
          <w:szCs w:val="24"/>
        </w:rPr>
        <w:t xml:space="preserve">., Onufrego Z. podnosząc, że nie złożył on skutecznie rezygnacji z zarządu (powinien to uczynić wobec zgromadzenia wspólników) oraz że nie został on wykreślony z KRS.  </w:t>
      </w:r>
    </w:p>
    <w:p w14:paraId="7C5EFD0E" w14:textId="77777777" w:rsidR="00FC0C00" w:rsidRDefault="00FC0C00" w:rsidP="00BE3C21">
      <w:pPr>
        <w:spacing w:before="80" w:after="80"/>
        <w:jc w:val="both"/>
        <w:rPr>
          <w:rFonts w:ascii="Times New Roman" w:hAnsi="Times New Roman"/>
          <w:sz w:val="24"/>
          <w:szCs w:val="24"/>
        </w:rPr>
      </w:pPr>
    </w:p>
    <w:p w14:paraId="631F04D6" w14:textId="77777777" w:rsidR="00ED3918" w:rsidRDefault="00ED3918" w:rsidP="00264AD2">
      <w:pPr>
        <w:spacing w:before="80" w:after="80"/>
        <w:jc w:val="both"/>
        <w:rPr>
          <w:rFonts w:ascii="Times New Roman" w:hAnsi="Times New Roman"/>
          <w:b/>
          <w:i/>
          <w:sz w:val="24"/>
          <w:szCs w:val="24"/>
        </w:rPr>
      </w:pPr>
    </w:p>
    <w:p w14:paraId="38095E3C" w14:textId="77777777" w:rsidR="00264AD2" w:rsidRPr="001B4665" w:rsidRDefault="001B4665" w:rsidP="00264AD2">
      <w:pPr>
        <w:spacing w:before="80" w:after="80"/>
        <w:jc w:val="both"/>
        <w:rPr>
          <w:rFonts w:ascii="Times New Roman" w:hAnsi="Times New Roman"/>
          <w:i/>
          <w:sz w:val="24"/>
          <w:szCs w:val="24"/>
        </w:rPr>
      </w:pPr>
      <w:r w:rsidRPr="001B4665">
        <w:rPr>
          <w:rFonts w:ascii="Times New Roman" w:hAnsi="Times New Roman"/>
          <w:b/>
          <w:i/>
          <w:sz w:val="24"/>
          <w:szCs w:val="24"/>
        </w:rPr>
        <w:t xml:space="preserve">Uchwała 7 Sędziów SN z 31.03,2016 r., (III CZP 89/15): </w:t>
      </w:r>
      <w:r w:rsidRPr="001B4665">
        <w:rPr>
          <w:rFonts w:ascii="Times New Roman" w:hAnsi="Times New Roman"/>
          <w:i/>
          <w:sz w:val="24"/>
          <w:szCs w:val="24"/>
        </w:rPr>
        <w:t xml:space="preserve">Oświadczenie członka zarządu spółki kapitałowej o rezygnacji z tej funkcji jest składane </w:t>
      </w:r>
      <w:r>
        <w:rPr>
          <w:rFonts w:ascii="Times New Roman" w:hAnsi="Times New Roman"/>
          <w:i/>
          <w:sz w:val="24"/>
          <w:szCs w:val="24"/>
        </w:rPr>
        <w:t>–</w:t>
      </w:r>
      <w:r w:rsidRPr="001B4665">
        <w:rPr>
          <w:rFonts w:ascii="Times New Roman" w:hAnsi="Times New Roman"/>
          <w:i/>
          <w:sz w:val="24"/>
          <w:szCs w:val="24"/>
        </w:rPr>
        <w:t xml:space="preserve"> z wyjątkiem przewidzianym w art. 210 § 2 i art. 379 § 2 </w:t>
      </w:r>
      <w:proofErr w:type="spellStart"/>
      <w:r w:rsidRPr="001B4665">
        <w:rPr>
          <w:rFonts w:ascii="Times New Roman" w:hAnsi="Times New Roman"/>
          <w:i/>
          <w:sz w:val="24"/>
          <w:szCs w:val="24"/>
        </w:rPr>
        <w:t>k.s.h</w:t>
      </w:r>
      <w:proofErr w:type="spellEnd"/>
      <w:r w:rsidRPr="001B4665">
        <w:rPr>
          <w:rFonts w:ascii="Times New Roman" w:hAnsi="Times New Roman"/>
          <w:i/>
          <w:sz w:val="24"/>
          <w:szCs w:val="24"/>
        </w:rPr>
        <w:t xml:space="preserve">. </w:t>
      </w:r>
      <w:r>
        <w:rPr>
          <w:rFonts w:ascii="Times New Roman" w:hAnsi="Times New Roman"/>
          <w:i/>
          <w:sz w:val="24"/>
          <w:szCs w:val="24"/>
        </w:rPr>
        <w:t>–</w:t>
      </w:r>
      <w:r w:rsidRPr="001B4665">
        <w:rPr>
          <w:rFonts w:ascii="Times New Roman" w:hAnsi="Times New Roman"/>
          <w:i/>
          <w:sz w:val="24"/>
          <w:szCs w:val="24"/>
        </w:rPr>
        <w:t xml:space="preserve"> spółce reprezentowanej w tym zakresie zgodnie z art. 205 § 2 lub 373 § 2 </w:t>
      </w:r>
      <w:proofErr w:type="spellStart"/>
      <w:r w:rsidRPr="001B4665">
        <w:rPr>
          <w:rFonts w:ascii="Times New Roman" w:hAnsi="Times New Roman"/>
          <w:i/>
          <w:sz w:val="24"/>
          <w:szCs w:val="24"/>
        </w:rPr>
        <w:t>k.s.h</w:t>
      </w:r>
      <w:proofErr w:type="spellEnd"/>
      <w:r w:rsidRPr="001B4665">
        <w:rPr>
          <w:rFonts w:ascii="Times New Roman" w:hAnsi="Times New Roman"/>
          <w:i/>
          <w:sz w:val="24"/>
          <w:szCs w:val="24"/>
        </w:rPr>
        <w:t>.</w:t>
      </w:r>
    </w:p>
    <w:p w14:paraId="5A70EB21" w14:textId="77777777" w:rsidR="00264AD2" w:rsidRDefault="00264AD2" w:rsidP="00264AD2">
      <w:pPr>
        <w:spacing w:before="80" w:after="80"/>
        <w:jc w:val="both"/>
        <w:rPr>
          <w:rFonts w:ascii="Times New Roman" w:hAnsi="Times New Roman"/>
          <w:i/>
          <w:sz w:val="24"/>
          <w:szCs w:val="24"/>
        </w:rPr>
      </w:pPr>
      <w:r w:rsidRPr="00264AD2">
        <w:rPr>
          <w:rFonts w:ascii="Times New Roman" w:hAnsi="Times New Roman"/>
          <w:b/>
          <w:i/>
          <w:sz w:val="24"/>
          <w:szCs w:val="24"/>
        </w:rPr>
        <w:t>Wyrok NSA w Warszawie z 7.05.2014 r. (I FSK 649/13):</w:t>
      </w:r>
      <w:r>
        <w:rPr>
          <w:rFonts w:ascii="Times New Roman" w:hAnsi="Times New Roman"/>
          <w:sz w:val="24"/>
          <w:szCs w:val="24"/>
        </w:rPr>
        <w:t xml:space="preserve"> </w:t>
      </w:r>
      <w:r w:rsidRPr="00264AD2">
        <w:rPr>
          <w:rFonts w:ascii="Times New Roman" w:hAnsi="Times New Roman"/>
          <w:i/>
          <w:sz w:val="24"/>
          <w:szCs w:val="24"/>
        </w:rPr>
        <w:t>„</w:t>
      </w:r>
      <w:r w:rsidRPr="00264AD2">
        <w:rPr>
          <w:rFonts w:ascii="Times New Roman" w:hAnsi="Times New Roman"/>
          <w:b/>
          <w:i/>
          <w:sz w:val="24"/>
          <w:szCs w:val="24"/>
        </w:rPr>
        <w:t>1.</w:t>
      </w:r>
      <w:r w:rsidRPr="00264AD2">
        <w:rPr>
          <w:rFonts w:ascii="Times New Roman" w:hAnsi="Times New Roman"/>
          <w:i/>
          <w:sz w:val="24"/>
          <w:szCs w:val="24"/>
        </w:rPr>
        <w:t xml:space="preserve"> Skuteczność oświadczenia woli o rezygnacji z członkostwa w zarządzie nie jest zależna od dokonania wpisu w Krajowym Rejestrze Sądowym. Wpis w rejestrze zmian składu zarządu spółki ma charakter </w:t>
      </w:r>
      <w:r w:rsidRPr="00264AD2">
        <w:rPr>
          <w:rFonts w:ascii="Times New Roman" w:hAnsi="Times New Roman"/>
          <w:i/>
          <w:sz w:val="24"/>
          <w:szCs w:val="24"/>
        </w:rPr>
        <w:lastRenderedPageBreak/>
        <w:t xml:space="preserve">deklaratywny. </w:t>
      </w:r>
      <w:r w:rsidRPr="00264AD2">
        <w:rPr>
          <w:rFonts w:ascii="Times New Roman" w:hAnsi="Times New Roman"/>
          <w:b/>
          <w:i/>
          <w:sz w:val="24"/>
          <w:szCs w:val="24"/>
        </w:rPr>
        <w:t>2.</w:t>
      </w:r>
      <w:r w:rsidRPr="00264AD2">
        <w:rPr>
          <w:rFonts w:ascii="Times New Roman" w:hAnsi="Times New Roman"/>
          <w:i/>
          <w:sz w:val="24"/>
          <w:szCs w:val="24"/>
        </w:rPr>
        <w:t xml:space="preserve"> Prawny status członka zarządu spółki określają umowa spółki i przepisy art. 201-211 </w:t>
      </w:r>
      <w:proofErr w:type="spellStart"/>
      <w:r w:rsidRPr="00264AD2">
        <w:rPr>
          <w:rFonts w:ascii="Times New Roman" w:hAnsi="Times New Roman"/>
          <w:i/>
          <w:sz w:val="24"/>
          <w:szCs w:val="24"/>
        </w:rPr>
        <w:t>k.s.h</w:t>
      </w:r>
      <w:proofErr w:type="spellEnd"/>
      <w:r w:rsidRPr="00264AD2">
        <w:rPr>
          <w:rFonts w:ascii="Times New Roman" w:hAnsi="Times New Roman"/>
          <w:i/>
          <w:sz w:val="24"/>
          <w:szCs w:val="24"/>
        </w:rPr>
        <w:t>. W świetle tych unormowań za członka zarządu można uznawać tylko osobę, która w przewidzianym prawem trybie powołana została na tę funkcję i której mandat nie wygasł. Zakwalifikowanie danej osoby jako członka zarządu nie jest natomiast zależne od tego, czy i w jakim zakresie faktycznie spełnia ona swoje obowiązki w spółce. Za członka zarządu nie można też uznawać osoby, której mandat wygasł, a która nadal faktycznie wykonuje obowiązki przynależne członkowi zarządu.</w:t>
      </w:r>
      <w:r>
        <w:rPr>
          <w:rFonts w:ascii="Times New Roman" w:hAnsi="Times New Roman"/>
          <w:i/>
          <w:sz w:val="24"/>
          <w:szCs w:val="24"/>
        </w:rPr>
        <w:t>”</w:t>
      </w:r>
    </w:p>
    <w:p w14:paraId="38F927D5" w14:textId="77777777" w:rsidR="00264AD2" w:rsidRPr="003C5DC7" w:rsidRDefault="003C5DC7" w:rsidP="003C5DC7">
      <w:pPr>
        <w:spacing w:before="80" w:after="80"/>
        <w:jc w:val="both"/>
        <w:rPr>
          <w:rFonts w:ascii="Times New Roman" w:hAnsi="Times New Roman"/>
          <w:i/>
          <w:sz w:val="24"/>
          <w:szCs w:val="24"/>
        </w:rPr>
      </w:pPr>
      <w:r w:rsidRPr="003C5DC7">
        <w:rPr>
          <w:rFonts w:ascii="Times New Roman" w:hAnsi="Times New Roman"/>
          <w:b/>
          <w:i/>
          <w:sz w:val="24"/>
          <w:szCs w:val="24"/>
        </w:rPr>
        <w:t>Wyrok SN z 14.04.2016 r. (IV CSK 485/15):</w:t>
      </w:r>
      <w:r>
        <w:rPr>
          <w:rFonts w:ascii="Times New Roman" w:hAnsi="Times New Roman"/>
          <w:sz w:val="24"/>
          <w:szCs w:val="24"/>
        </w:rPr>
        <w:t xml:space="preserve"> </w:t>
      </w:r>
      <w:r w:rsidRPr="003C5DC7">
        <w:rPr>
          <w:rFonts w:ascii="Times New Roman" w:hAnsi="Times New Roman"/>
          <w:i/>
          <w:sz w:val="24"/>
          <w:szCs w:val="24"/>
        </w:rPr>
        <w:t>Członek zarządu spółki z ograniczoną odpowiedzialnością nie może ponosić odpowiedzialności za zobowiązania, które powstały w okresie, w którym nie pełnił on tej funkcji, ale także za te, które powstały w okresie, w którym członek zarządu pozostając w zarządzie nie mógł, wskutek szczególnych regulacji (np. decyzji sądu upadłościowego) tego zarządu odnośnie do ma</w:t>
      </w:r>
      <w:r w:rsidR="00690187">
        <w:rPr>
          <w:rFonts w:ascii="Times New Roman" w:hAnsi="Times New Roman"/>
          <w:i/>
          <w:sz w:val="24"/>
          <w:szCs w:val="24"/>
        </w:rPr>
        <w:t>j</w:t>
      </w:r>
      <w:r w:rsidRPr="003C5DC7">
        <w:rPr>
          <w:rFonts w:ascii="Times New Roman" w:hAnsi="Times New Roman"/>
          <w:i/>
          <w:sz w:val="24"/>
          <w:szCs w:val="24"/>
        </w:rPr>
        <w:t>ątku sprawować.</w:t>
      </w:r>
    </w:p>
    <w:p w14:paraId="4979DDDC" w14:textId="77777777" w:rsidR="003C5DC7" w:rsidRPr="00264AD2" w:rsidRDefault="003C5DC7" w:rsidP="00264AD2">
      <w:pPr>
        <w:spacing w:before="80" w:after="80"/>
        <w:jc w:val="both"/>
        <w:rPr>
          <w:rFonts w:ascii="Times New Roman" w:hAnsi="Times New Roman"/>
          <w:sz w:val="24"/>
          <w:szCs w:val="24"/>
        </w:rPr>
      </w:pPr>
    </w:p>
    <w:p w14:paraId="634125B3" w14:textId="77777777" w:rsidR="00BE3C21" w:rsidRPr="00F17BB4" w:rsidRDefault="00500366" w:rsidP="00BE3C21">
      <w:pPr>
        <w:spacing w:before="80" w:after="80"/>
        <w:jc w:val="both"/>
        <w:rPr>
          <w:rFonts w:ascii="Times New Roman" w:hAnsi="Times New Roman"/>
          <w:b/>
          <w:sz w:val="24"/>
          <w:szCs w:val="24"/>
        </w:rPr>
      </w:pPr>
      <w:r>
        <w:rPr>
          <w:rFonts w:ascii="Times New Roman" w:hAnsi="Times New Roman"/>
          <w:b/>
          <w:sz w:val="24"/>
          <w:szCs w:val="24"/>
        </w:rPr>
        <w:t>Kazus 10</w:t>
      </w:r>
      <w:r w:rsidR="00BE3C21" w:rsidRPr="00F17BB4">
        <w:rPr>
          <w:rFonts w:ascii="Times New Roman" w:hAnsi="Times New Roman"/>
          <w:b/>
          <w:sz w:val="24"/>
          <w:szCs w:val="24"/>
        </w:rPr>
        <w:t xml:space="preserve"> </w:t>
      </w:r>
    </w:p>
    <w:p w14:paraId="555029A1" w14:textId="77777777" w:rsidR="00BE3C21" w:rsidRDefault="00BE3C21" w:rsidP="00BE3C21">
      <w:pPr>
        <w:spacing w:before="80" w:after="80"/>
        <w:jc w:val="both"/>
        <w:rPr>
          <w:rFonts w:ascii="Times New Roman" w:hAnsi="Times New Roman"/>
          <w:sz w:val="24"/>
          <w:szCs w:val="24"/>
        </w:rPr>
      </w:pPr>
      <w:r>
        <w:rPr>
          <w:rFonts w:ascii="Times New Roman" w:hAnsi="Times New Roman"/>
          <w:sz w:val="24"/>
          <w:szCs w:val="24"/>
        </w:rPr>
        <w:t xml:space="preserve">Statut „Ofelia” S.A. przewiduje, że każda czynność prawna dotycząca praw, których wartość przekracza 100 000 zł, wymaga uprzedniej zgody rady nadzorczej wyrażonej bezwzględną większością głosów. Statut przewiduje też, że do składania oświadczeń woli w imieniu spółki wymagane jest współdziałanie dwóch członków zarządu albo jednego członka zarządu łącznie z prokurentem. Jednakże w razie zawarcia umowy sprzedaży nieruchomości należącej do spółki oraz dokonania czynności obciążenia tej nieruchomości ograniczonymi prawami rzeczowymi, jednym z członków zarządu, składających oświadczenie woli w imieniu spółki, powinien być prezes zarządu. W dziale 2 rejestru przedsiębiorców wpisano, jako sposób reprezentacji, jedynie reprezentację dwuosobową, bez wymogu dotyczącego prezesa. </w:t>
      </w:r>
    </w:p>
    <w:p w14:paraId="7F59EB03" w14:textId="63778B18" w:rsidR="00BE3C21" w:rsidRPr="00A259ED" w:rsidRDefault="00BE3C21" w:rsidP="00BE3C21">
      <w:pPr>
        <w:spacing w:before="80" w:after="80"/>
        <w:jc w:val="both"/>
        <w:rPr>
          <w:rFonts w:ascii="Times New Roman" w:hAnsi="Times New Roman"/>
          <w:sz w:val="24"/>
          <w:szCs w:val="24"/>
        </w:rPr>
      </w:pPr>
      <w:r w:rsidRPr="003116A8">
        <w:rPr>
          <w:rFonts w:ascii="Times New Roman" w:hAnsi="Times New Roman"/>
          <w:sz w:val="24"/>
          <w:szCs w:val="24"/>
        </w:rPr>
        <w:t xml:space="preserve">Zarząd „Ofelia” S.A. składa z czterech osób. </w:t>
      </w:r>
      <w:r>
        <w:rPr>
          <w:rFonts w:ascii="Times New Roman" w:hAnsi="Times New Roman"/>
          <w:sz w:val="24"/>
          <w:szCs w:val="24"/>
        </w:rPr>
        <w:t>W dniu 25.5.</w:t>
      </w:r>
      <w:r w:rsidR="00760F09" w:rsidRPr="00760F09">
        <w:rPr>
          <w:rFonts w:ascii="Times New Roman" w:hAnsi="Times New Roman"/>
          <w:sz w:val="24"/>
          <w:szCs w:val="24"/>
        </w:rPr>
        <w:t xml:space="preserve"> </w:t>
      </w:r>
      <w:r w:rsidR="00760F09">
        <w:rPr>
          <w:rFonts w:ascii="Times New Roman" w:hAnsi="Times New Roman"/>
          <w:sz w:val="24"/>
          <w:szCs w:val="24"/>
        </w:rPr>
        <w:t>2023</w:t>
      </w:r>
      <w:r>
        <w:rPr>
          <w:rFonts w:ascii="Times New Roman" w:hAnsi="Times New Roman"/>
          <w:sz w:val="24"/>
          <w:szCs w:val="24"/>
        </w:rPr>
        <w:t xml:space="preserve"> r. spółka, reprezentowana przez dwóch „szeregowych” członków zarządu Karola J. i Tomasza G., zawarła notarialną umowę sprzedaży swojej nieruchomości za cenę 200 000 złotych. </w:t>
      </w:r>
      <w:r w:rsidRPr="00A259ED">
        <w:rPr>
          <w:rFonts w:ascii="Times New Roman" w:hAnsi="Times New Roman"/>
          <w:sz w:val="24"/>
          <w:szCs w:val="24"/>
        </w:rPr>
        <w:t xml:space="preserve">Karol J. omówił wcześniej warunki </w:t>
      </w:r>
      <w:r>
        <w:rPr>
          <w:rFonts w:ascii="Times New Roman" w:hAnsi="Times New Roman"/>
          <w:sz w:val="24"/>
          <w:szCs w:val="24"/>
        </w:rPr>
        <w:t>telefonicznie transak</w:t>
      </w:r>
      <w:r w:rsidRPr="00A259ED">
        <w:rPr>
          <w:rFonts w:ascii="Times New Roman" w:hAnsi="Times New Roman"/>
          <w:sz w:val="24"/>
          <w:szCs w:val="24"/>
        </w:rPr>
        <w:t xml:space="preserve">cji z dwoma </w:t>
      </w:r>
      <w:r>
        <w:rPr>
          <w:rFonts w:ascii="Times New Roman" w:hAnsi="Times New Roman"/>
          <w:sz w:val="24"/>
          <w:szCs w:val="24"/>
        </w:rPr>
        <w:t>pozostałymi członkami zarzą</w:t>
      </w:r>
      <w:r w:rsidRPr="00A259ED">
        <w:rPr>
          <w:rFonts w:ascii="Times New Roman" w:hAnsi="Times New Roman"/>
          <w:sz w:val="24"/>
          <w:szCs w:val="24"/>
        </w:rPr>
        <w:t>du prze</w:t>
      </w:r>
      <w:r>
        <w:rPr>
          <w:rFonts w:ascii="Times New Roman" w:hAnsi="Times New Roman"/>
          <w:sz w:val="24"/>
          <w:szCs w:val="24"/>
        </w:rPr>
        <w:t xml:space="preserve">bywającymi za granicą, tj. z prezesem zarządu Piotrem O. i członkiem zarządu Tadeuszem B. Piotr O. zaakceptował transakcję, natomiast Tadeusz B. nalegał, aby zarząd podjął w tym względzie uchwałę „tak jak tego wymaga prawo o spółkach i nasz statut”. Te zastrzeżenia zostały jednak zignorowane przez pozostałych członków zarządu. </w:t>
      </w:r>
    </w:p>
    <w:p w14:paraId="3799D703" w14:textId="20D717B4" w:rsidR="00BE3C21" w:rsidRDefault="00BE3C21" w:rsidP="00BE3C21">
      <w:pPr>
        <w:spacing w:before="80" w:after="80"/>
        <w:jc w:val="both"/>
        <w:rPr>
          <w:rFonts w:ascii="Times New Roman" w:hAnsi="Times New Roman"/>
          <w:sz w:val="24"/>
          <w:szCs w:val="24"/>
        </w:rPr>
      </w:pPr>
      <w:r>
        <w:rPr>
          <w:rFonts w:ascii="Times New Roman" w:hAnsi="Times New Roman"/>
          <w:sz w:val="24"/>
          <w:szCs w:val="24"/>
        </w:rPr>
        <w:t xml:space="preserve">W dniu 2 czerwca </w:t>
      </w:r>
      <w:r w:rsidR="00760F09">
        <w:rPr>
          <w:rFonts w:ascii="Times New Roman" w:hAnsi="Times New Roman"/>
          <w:sz w:val="24"/>
          <w:szCs w:val="24"/>
        </w:rPr>
        <w:t>2023</w:t>
      </w:r>
      <w:r w:rsidR="00760F09">
        <w:rPr>
          <w:rFonts w:ascii="Times New Roman" w:hAnsi="Times New Roman"/>
          <w:sz w:val="24"/>
          <w:szCs w:val="24"/>
        </w:rPr>
        <w:t xml:space="preserve"> </w:t>
      </w:r>
      <w:r>
        <w:rPr>
          <w:rFonts w:ascii="Times New Roman" w:hAnsi="Times New Roman"/>
          <w:sz w:val="24"/>
          <w:szCs w:val="24"/>
        </w:rPr>
        <w:t xml:space="preserve">r. rada nadzorcza podjęła uchwałę o wyrażeniu zgody na sprzedaż nieruchomości spółki. Na posiedzeniu rady było obecnych trzech spośród pięciu członków rady, przy czym za uchwałą głosowało dwóch członków, a jeden wstrzymał się od głosu. Jeden z nieobecnych członków twierdzi jednak, że uchwała rady jest nieważna, gdyż zgodnie ze statutem i regulaminem rady zawiadomienie o posiedzeniu rady powinno być wysłane z co najmniej tygodniowym wyprzedzeniem, podczas gdy w tym przypadku zawiadomienie wysłano na pięć dni przed posiedzeniem, w dniu 28 maja </w:t>
      </w:r>
      <w:r w:rsidR="00760F09">
        <w:rPr>
          <w:rFonts w:ascii="Times New Roman" w:hAnsi="Times New Roman"/>
          <w:sz w:val="24"/>
          <w:szCs w:val="24"/>
        </w:rPr>
        <w:t>2023</w:t>
      </w:r>
      <w:r>
        <w:rPr>
          <w:rFonts w:ascii="Times New Roman" w:hAnsi="Times New Roman"/>
          <w:sz w:val="24"/>
          <w:szCs w:val="24"/>
        </w:rPr>
        <w:t xml:space="preserve"> r. </w:t>
      </w:r>
    </w:p>
    <w:p w14:paraId="23DA70EC" w14:textId="77777777" w:rsidR="00BE3C21" w:rsidRDefault="00BE3C21" w:rsidP="00BE3C21">
      <w:pPr>
        <w:spacing w:before="80" w:after="80"/>
        <w:jc w:val="both"/>
        <w:rPr>
          <w:rFonts w:ascii="Times New Roman" w:hAnsi="Times New Roman"/>
          <w:sz w:val="24"/>
          <w:szCs w:val="24"/>
        </w:rPr>
      </w:pPr>
      <w:r>
        <w:rPr>
          <w:rFonts w:ascii="Times New Roman" w:hAnsi="Times New Roman"/>
          <w:sz w:val="24"/>
          <w:szCs w:val="24"/>
        </w:rPr>
        <w:t>Czy umowa sprzedaży nieruchomości jest ważna ? Czy uchwała rady nadzorczej została skutecznie podjęta ?</w:t>
      </w:r>
    </w:p>
    <w:p w14:paraId="0E2AD79E" w14:textId="77777777" w:rsidR="00BE3C21" w:rsidRDefault="00BE3C21" w:rsidP="00BE3C21">
      <w:pPr>
        <w:spacing w:before="80" w:after="80"/>
        <w:jc w:val="both"/>
        <w:rPr>
          <w:rFonts w:ascii="Times New Roman" w:hAnsi="Times New Roman"/>
          <w:sz w:val="24"/>
          <w:szCs w:val="24"/>
        </w:rPr>
      </w:pPr>
    </w:p>
    <w:p w14:paraId="1C9E7FA0" w14:textId="77777777" w:rsidR="00BE3C21" w:rsidRPr="006D7499" w:rsidRDefault="00BE3C21" w:rsidP="00BE3C21">
      <w:pPr>
        <w:spacing w:before="80" w:after="80"/>
        <w:jc w:val="both"/>
        <w:rPr>
          <w:rFonts w:ascii="Times New Roman" w:hAnsi="Times New Roman"/>
          <w:b/>
          <w:i/>
          <w:sz w:val="24"/>
          <w:szCs w:val="24"/>
        </w:rPr>
      </w:pPr>
      <w:r w:rsidRPr="006D7499">
        <w:rPr>
          <w:rFonts w:ascii="Times New Roman" w:hAnsi="Times New Roman"/>
          <w:b/>
          <w:i/>
          <w:sz w:val="24"/>
          <w:szCs w:val="24"/>
        </w:rPr>
        <w:lastRenderedPageBreak/>
        <w:t>Zob. wyroki:</w:t>
      </w:r>
    </w:p>
    <w:p w14:paraId="0792CB96" w14:textId="77777777" w:rsidR="00BE3C21" w:rsidRPr="006D7499" w:rsidRDefault="00BE3C21" w:rsidP="00BE3C21">
      <w:pPr>
        <w:spacing w:before="80" w:after="80"/>
        <w:jc w:val="both"/>
        <w:rPr>
          <w:rFonts w:ascii="Times New Roman" w:hAnsi="Times New Roman"/>
          <w:i/>
          <w:sz w:val="24"/>
          <w:szCs w:val="24"/>
        </w:rPr>
      </w:pPr>
      <w:r w:rsidRPr="006D7499">
        <w:rPr>
          <w:rFonts w:ascii="Times New Roman" w:hAnsi="Times New Roman"/>
          <w:i/>
          <w:sz w:val="24"/>
          <w:szCs w:val="24"/>
        </w:rPr>
        <w:t xml:space="preserve">- </w:t>
      </w:r>
      <w:r w:rsidRPr="006D7499">
        <w:rPr>
          <w:rFonts w:ascii="Times New Roman" w:hAnsi="Times New Roman"/>
          <w:b/>
          <w:i/>
          <w:sz w:val="24"/>
          <w:szCs w:val="24"/>
        </w:rPr>
        <w:t xml:space="preserve">uchwała </w:t>
      </w:r>
      <w:r>
        <w:rPr>
          <w:rFonts w:ascii="Times New Roman" w:hAnsi="Times New Roman"/>
          <w:b/>
          <w:i/>
          <w:sz w:val="24"/>
          <w:szCs w:val="24"/>
        </w:rPr>
        <w:t xml:space="preserve">SN </w:t>
      </w:r>
      <w:r w:rsidRPr="006D7499">
        <w:rPr>
          <w:rFonts w:ascii="Times New Roman" w:hAnsi="Times New Roman"/>
          <w:b/>
          <w:i/>
          <w:sz w:val="24"/>
          <w:szCs w:val="24"/>
        </w:rPr>
        <w:t xml:space="preserve">z 24.10.1996 r., III CZP 112/96 </w:t>
      </w:r>
      <w:r w:rsidRPr="006D7499">
        <w:rPr>
          <w:rFonts w:ascii="Times New Roman" w:hAnsi="Times New Roman"/>
          <w:i/>
          <w:sz w:val="24"/>
          <w:szCs w:val="24"/>
        </w:rPr>
        <w:t>(Teza: „W umowie spółki z ograniczoną odpowiedzialnością może być przewidziana reprezentacja łączna dla składania przez zarząd oświadczeń w zakresie praw i obowiązków majątkowych spółki powyżej określonej ich wartości.” Z uzasadnienia: „(…) Omawiane umowne ograniczenia są więc wiążące dla poszczególnych członków zarządu, a to pod rygorem ich odpowiedzialności (organizacyjnej, a także ewentualnie cywilnej) wobec spółki, nie wywierają natomiast skutków prawnych "na zewnątrz", tj. w stosunku do osób trzecich. Odpowiada to ogólnej regule, że umowa rodzi skutki prawne w zakresie między kontrahentami, w szczególności nie może obciążać ani ograniczać praw osób trzecich.”)</w:t>
      </w:r>
    </w:p>
    <w:p w14:paraId="2598DE49" w14:textId="77777777" w:rsidR="00BE3C21" w:rsidRDefault="00BE3C21" w:rsidP="00BE3C21">
      <w:pPr>
        <w:spacing w:before="80" w:after="80"/>
        <w:jc w:val="both"/>
        <w:rPr>
          <w:rFonts w:ascii="Times New Roman" w:hAnsi="Times New Roman"/>
          <w:i/>
          <w:sz w:val="24"/>
          <w:szCs w:val="24"/>
        </w:rPr>
      </w:pPr>
      <w:r>
        <w:rPr>
          <w:rFonts w:ascii="Times New Roman" w:hAnsi="Times New Roman"/>
          <w:i/>
          <w:sz w:val="24"/>
          <w:szCs w:val="24"/>
        </w:rPr>
        <w:t xml:space="preserve">- </w:t>
      </w:r>
      <w:r w:rsidRPr="00346458">
        <w:rPr>
          <w:rFonts w:ascii="Times New Roman" w:hAnsi="Times New Roman"/>
          <w:b/>
          <w:i/>
          <w:sz w:val="24"/>
          <w:szCs w:val="24"/>
        </w:rPr>
        <w:t xml:space="preserve">wyrok </w:t>
      </w:r>
      <w:r>
        <w:rPr>
          <w:rFonts w:ascii="Times New Roman" w:hAnsi="Times New Roman"/>
          <w:b/>
          <w:i/>
          <w:sz w:val="24"/>
          <w:szCs w:val="24"/>
        </w:rPr>
        <w:t xml:space="preserve">SN </w:t>
      </w:r>
      <w:r w:rsidRPr="00346458">
        <w:rPr>
          <w:rFonts w:ascii="Times New Roman" w:hAnsi="Times New Roman"/>
          <w:b/>
          <w:i/>
          <w:sz w:val="24"/>
          <w:szCs w:val="24"/>
        </w:rPr>
        <w:t>z dnia 18 lutego 2010 r., II CSK 449/09</w:t>
      </w:r>
      <w:r w:rsidRPr="00346458">
        <w:rPr>
          <w:rFonts w:ascii="Times New Roman" w:hAnsi="Times New Roman"/>
          <w:i/>
          <w:sz w:val="24"/>
          <w:szCs w:val="24"/>
        </w:rPr>
        <w:t xml:space="preserve"> </w:t>
      </w:r>
      <w:r>
        <w:rPr>
          <w:rFonts w:ascii="Times New Roman" w:hAnsi="Times New Roman"/>
          <w:i/>
          <w:sz w:val="24"/>
          <w:szCs w:val="24"/>
        </w:rPr>
        <w:t>(„</w:t>
      </w:r>
      <w:r w:rsidRPr="001F10D7">
        <w:rPr>
          <w:rFonts w:ascii="Times New Roman" w:hAnsi="Times New Roman"/>
          <w:i/>
          <w:sz w:val="24"/>
          <w:szCs w:val="24"/>
        </w:rPr>
        <w:t>Uchwała rady nadzorczej spółki akcyjnej o odwołaniu członka jej zarządu może być zaskarżona powództwem o stwierdzenie nieważności tej uchwały na podstawie art. 189 k.p.c. w zw. z art. 58 § 1 k.c.</w:t>
      </w:r>
      <w:r>
        <w:rPr>
          <w:rFonts w:ascii="Times New Roman" w:hAnsi="Times New Roman"/>
          <w:i/>
          <w:sz w:val="24"/>
          <w:szCs w:val="24"/>
        </w:rPr>
        <w:t>”)</w:t>
      </w:r>
    </w:p>
    <w:p w14:paraId="7494511C" w14:textId="77777777" w:rsidR="00BE3C21" w:rsidRDefault="00BE3C21" w:rsidP="00BE3C21">
      <w:pPr>
        <w:spacing w:before="80" w:after="80"/>
        <w:jc w:val="both"/>
        <w:rPr>
          <w:rFonts w:ascii="Times New Roman" w:hAnsi="Times New Roman"/>
          <w:i/>
          <w:sz w:val="24"/>
          <w:szCs w:val="24"/>
        </w:rPr>
      </w:pPr>
      <w:r>
        <w:rPr>
          <w:rFonts w:ascii="Times New Roman" w:hAnsi="Times New Roman"/>
          <w:i/>
          <w:sz w:val="24"/>
          <w:szCs w:val="24"/>
        </w:rPr>
        <w:t>-</w:t>
      </w:r>
      <w:r w:rsidRPr="007E4D4F">
        <w:rPr>
          <w:rFonts w:ascii="Times New Roman" w:hAnsi="Times New Roman"/>
          <w:b/>
          <w:i/>
          <w:sz w:val="24"/>
          <w:szCs w:val="24"/>
        </w:rPr>
        <w:t xml:space="preserve"> wyrok SA w Poznaniu z dnia 16 marca 2008 r., I </w:t>
      </w:r>
      <w:proofErr w:type="spellStart"/>
      <w:r w:rsidRPr="007E4D4F">
        <w:rPr>
          <w:rFonts w:ascii="Times New Roman" w:hAnsi="Times New Roman"/>
          <w:b/>
          <w:i/>
          <w:sz w:val="24"/>
          <w:szCs w:val="24"/>
        </w:rPr>
        <w:t>ACa</w:t>
      </w:r>
      <w:proofErr w:type="spellEnd"/>
      <w:r w:rsidRPr="007E4D4F">
        <w:rPr>
          <w:rFonts w:ascii="Times New Roman" w:hAnsi="Times New Roman"/>
          <w:b/>
          <w:i/>
          <w:sz w:val="24"/>
          <w:szCs w:val="24"/>
        </w:rPr>
        <w:t xml:space="preserve"> 200/08</w:t>
      </w:r>
      <w:r>
        <w:rPr>
          <w:rFonts w:ascii="Times New Roman" w:hAnsi="Times New Roman"/>
          <w:i/>
          <w:sz w:val="24"/>
          <w:szCs w:val="24"/>
        </w:rPr>
        <w:t xml:space="preserve"> (Tezy: „(…) </w:t>
      </w:r>
      <w:r w:rsidRPr="00B872FC">
        <w:rPr>
          <w:rFonts w:ascii="Times New Roman" w:hAnsi="Times New Roman"/>
          <w:i/>
          <w:sz w:val="24"/>
          <w:szCs w:val="24"/>
        </w:rPr>
        <w:t xml:space="preserve">2. Uchwały rady nadzorczej spółki z ograniczoną odpowiedzialnością nie podlegają w ogóle zaskarżeniu z powodu ich sprzeczności z umową spółki, w drodze powództwa analogicznego do określonego w przepisie art. 249 § 1 </w:t>
      </w:r>
      <w:proofErr w:type="spellStart"/>
      <w:r w:rsidRPr="00B872FC">
        <w:rPr>
          <w:rFonts w:ascii="Times New Roman" w:hAnsi="Times New Roman"/>
          <w:i/>
          <w:sz w:val="24"/>
          <w:szCs w:val="24"/>
        </w:rPr>
        <w:t>k.s.h</w:t>
      </w:r>
      <w:proofErr w:type="spellEnd"/>
      <w:r w:rsidRPr="00B872FC">
        <w:rPr>
          <w:rFonts w:ascii="Times New Roman" w:hAnsi="Times New Roman"/>
          <w:i/>
          <w:sz w:val="24"/>
          <w:szCs w:val="24"/>
        </w:rPr>
        <w:t>.</w:t>
      </w:r>
      <w:r>
        <w:rPr>
          <w:rFonts w:ascii="Times New Roman" w:hAnsi="Times New Roman"/>
          <w:i/>
          <w:sz w:val="24"/>
          <w:szCs w:val="24"/>
        </w:rPr>
        <w:t xml:space="preserve"> </w:t>
      </w:r>
      <w:r>
        <w:rPr>
          <w:rFonts w:ascii="Times New Roman" w:hAnsi="Times New Roman"/>
          <w:i/>
          <w:sz w:val="24"/>
          <w:szCs w:val="24"/>
        </w:rPr>
        <w:tab/>
      </w:r>
      <w:r w:rsidRPr="00B872FC">
        <w:rPr>
          <w:rFonts w:ascii="Times New Roman" w:hAnsi="Times New Roman"/>
          <w:i/>
          <w:sz w:val="24"/>
          <w:szCs w:val="24"/>
        </w:rPr>
        <w:t xml:space="preserve">3. Ustawodawca w przepisach art. 249-250 </w:t>
      </w:r>
      <w:proofErr w:type="spellStart"/>
      <w:r w:rsidRPr="00B872FC">
        <w:rPr>
          <w:rFonts w:ascii="Times New Roman" w:hAnsi="Times New Roman"/>
          <w:i/>
          <w:sz w:val="24"/>
          <w:szCs w:val="24"/>
        </w:rPr>
        <w:t>k.s.h</w:t>
      </w:r>
      <w:proofErr w:type="spellEnd"/>
      <w:r w:rsidRPr="00B872FC">
        <w:rPr>
          <w:rFonts w:ascii="Times New Roman" w:hAnsi="Times New Roman"/>
          <w:i/>
          <w:sz w:val="24"/>
          <w:szCs w:val="24"/>
        </w:rPr>
        <w:t xml:space="preserve">. wprowadził ograniczenie podmiotowe co do kręgu osób, które mogą podważać uchwały wspólników, przesądzając tym samym o tym, że tylko te osoby mogą mieć interes prawny w wewnątrzkorporacyjnym podważaniu decyzji najwyższego organu spółki. Tym bardziej ograniczenia te obowiązywać muszą przy ocenie dopuszczalności podważania uchwał innego organu spółki, podejmującego je na podstawie i w granicach kompetencji przekazanych mu umownie przez wspólników (argumentum a </w:t>
      </w:r>
      <w:proofErr w:type="spellStart"/>
      <w:r w:rsidRPr="00B872FC">
        <w:rPr>
          <w:rFonts w:ascii="Times New Roman" w:hAnsi="Times New Roman"/>
          <w:i/>
          <w:sz w:val="24"/>
          <w:szCs w:val="24"/>
        </w:rPr>
        <w:t>fortiori</w:t>
      </w:r>
      <w:proofErr w:type="spellEnd"/>
      <w:r w:rsidRPr="00B872FC">
        <w:rPr>
          <w:rFonts w:ascii="Times New Roman" w:hAnsi="Times New Roman"/>
          <w:i/>
          <w:sz w:val="24"/>
          <w:szCs w:val="24"/>
        </w:rPr>
        <w:t>).</w:t>
      </w:r>
      <w:r>
        <w:rPr>
          <w:rFonts w:ascii="Times New Roman" w:hAnsi="Times New Roman"/>
          <w:i/>
          <w:sz w:val="24"/>
          <w:szCs w:val="24"/>
        </w:rPr>
        <w:t>”)</w:t>
      </w:r>
    </w:p>
    <w:p w14:paraId="78F8A105" w14:textId="77777777" w:rsidR="00BE3C21" w:rsidRPr="004637AF" w:rsidRDefault="00BE3C21" w:rsidP="00BE3C21">
      <w:pPr>
        <w:spacing w:before="80" w:after="80"/>
        <w:jc w:val="both"/>
        <w:rPr>
          <w:rFonts w:ascii="Times New Roman" w:hAnsi="Times New Roman"/>
          <w:i/>
          <w:sz w:val="24"/>
          <w:szCs w:val="24"/>
        </w:rPr>
      </w:pPr>
      <w:r>
        <w:rPr>
          <w:rFonts w:ascii="Times New Roman" w:hAnsi="Times New Roman"/>
          <w:b/>
          <w:i/>
          <w:sz w:val="24"/>
          <w:szCs w:val="24"/>
        </w:rPr>
        <w:t>- u</w:t>
      </w:r>
      <w:r w:rsidRPr="002C1ADB">
        <w:rPr>
          <w:rFonts w:ascii="Times New Roman" w:hAnsi="Times New Roman"/>
          <w:b/>
          <w:i/>
          <w:sz w:val="24"/>
          <w:szCs w:val="24"/>
        </w:rPr>
        <w:t>chwała 7 sędziów SN z 18.9.2013 r., III CZP 13/13:</w:t>
      </w:r>
      <w:r>
        <w:rPr>
          <w:rFonts w:ascii="Times New Roman" w:hAnsi="Times New Roman"/>
          <w:sz w:val="24"/>
          <w:szCs w:val="24"/>
        </w:rPr>
        <w:t xml:space="preserve"> </w:t>
      </w:r>
      <w:r w:rsidRPr="004637AF">
        <w:rPr>
          <w:rFonts w:ascii="Times New Roman" w:hAnsi="Times New Roman"/>
          <w:i/>
          <w:sz w:val="24"/>
          <w:szCs w:val="24"/>
        </w:rPr>
        <w:t xml:space="preserve">„Uchwały zarządu, rady nadzorczej i komisji rewizyjnej spółki z ograniczoną odpowiedzialnością oraz uchwały zarządu i rady nadzorczej spółki akcyjnej podlegają zaskarżeniu w drodze </w:t>
      </w:r>
      <w:r w:rsidRPr="002C1ADB">
        <w:rPr>
          <w:rFonts w:ascii="Times New Roman" w:hAnsi="Times New Roman"/>
          <w:b/>
          <w:i/>
          <w:sz w:val="24"/>
          <w:szCs w:val="24"/>
        </w:rPr>
        <w:t>powództwa o ustalenie</w:t>
      </w:r>
      <w:r w:rsidRPr="004637AF">
        <w:rPr>
          <w:rFonts w:ascii="Times New Roman" w:hAnsi="Times New Roman"/>
          <w:i/>
          <w:sz w:val="24"/>
          <w:szCs w:val="24"/>
        </w:rPr>
        <w:t xml:space="preserve"> (art. 189 k.p.c. w związku z art. 58 k.c.).”</w:t>
      </w:r>
    </w:p>
    <w:p w14:paraId="754634C6" w14:textId="77777777" w:rsidR="00BE3C21" w:rsidRDefault="00BE3C21" w:rsidP="00BE3C21">
      <w:pPr>
        <w:spacing w:before="80" w:after="80"/>
        <w:jc w:val="both"/>
        <w:rPr>
          <w:rFonts w:ascii="Times New Roman" w:hAnsi="Times New Roman"/>
          <w:i/>
          <w:sz w:val="24"/>
          <w:szCs w:val="24"/>
        </w:rPr>
      </w:pPr>
      <w:r w:rsidRPr="00C25ACC">
        <w:rPr>
          <w:rFonts w:ascii="Times New Roman" w:hAnsi="Times New Roman"/>
          <w:b/>
          <w:i/>
          <w:sz w:val="24"/>
          <w:szCs w:val="24"/>
        </w:rPr>
        <w:t>Zob. też:</w:t>
      </w:r>
      <w:r>
        <w:rPr>
          <w:rFonts w:ascii="Times New Roman" w:hAnsi="Times New Roman"/>
          <w:i/>
          <w:sz w:val="24"/>
          <w:szCs w:val="24"/>
        </w:rPr>
        <w:t xml:space="preserve"> S. Sołtysiński, A. </w:t>
      </w:r>
      <w:r w:rsidRPr="007E59B7">
        <w:rPr>
          <w:rFonts w:ascii="Times New Roman" w:hAnsi="Times New Roman"/>
          <w:i/>
          <w:sz w:val="24"/>
          <w:szCs w:val="24"/>
        </w:rPr>
        <w:t>Opalski, Zaskarżanie uchwał zarządów i rad nadzorcz</w:t>
      </w:r>
      <w:r>
        <w:rPr>
          <w:rFonts w:ascii="Times New Roman" w:hAnsi="Times New Roman"/>
          <w:i/>
          <w:sz w:val="24"/>
          <w:szCs w:val="24"/>
        </w:rPr>
        <w:t>ych spółek kapitałowych, PPH Nr</w:t>
      </w:r>
      <w:r w:rsidRPr="007E59B7">
        <w:rPr>
          <w:rFonts w:ascii="Times New Roman" w:hAnsi="Times New Roman"/>
          <w:i/>
          <w:sz w:val="24"/>
          <w:szCs w:val="24"/>
        </w:rPr>
        <w:t xml:space="preserve"> 11/2010, S.</w:t>
      </w:r>
      <w:r>
        <w:rPr>
          <w:rFonts w:ascii="Times New Roman" w:hAnsi="Times New Roman"/>
          <w:i/>
          <w:sz w:val="24"/>
          <w:szCs w:val="24"/>
        </w:rPr>
        <w:t xml:space="preserve"> 4 i n.</w:t>
      </w:r>
    </w:p>
    <w:p w14:paraId="216388CB" w14:textId="77777777" w:rsidR="00AE27A9" w:rsidRDefault="00AE27A9"/>
    <w:p w14:paraId="028386C7" w14:textId="77777777" w:rsidR="00197A24" w:rsidRPr="00FF6A60" w:rsidRDefault="00500366" w:rsidP="00197A24">
      <w:pPr>
        <w:jc w:val="both"/>
        <w:rPr>
          <w:rFonts w:ascii="Times New Roman" w:hAnsi="Times New Roman"/>
          <w:b/>
          <w:sz w:val="24"/>
          <w:szCs w:val="24"/>
        </w:rPr>
      </w:pPr>
      <w:r>
        <w:rPr>
          <w:rFonts w:ascii="Times New Roman" w:hAnsi="Times New Roman"/>
          <w:b/>
          <w:sz w:val="24"/>
          <w:szCs w:val="24"/>
        </w:rPr>
        <w:t>Kazus 11</w:t>
      </w:r>
      <w:r w:rsidR="00197A24" w:rsidRPr="00FF6A60">
        <w:rPr>
          <w:rFonts w:ascii="Times New Roman" w:hAnsi="Times New Roman"/>
          <w:b/>
          <w:sz w:val="24"/>
          <w:szCs w:val="24"/>
        </w:rPr>
        <w:t xml:space="preserve"> </w:t>
      </w:r>
    </w:p>
    <w:p w14:paraId="0AD62829" w14:textId="77777777" w:rsidR="00585CA1" w:rsidRDefault="00585CA1" w:rsidP="00585CA1">
      <w:pPr>
        <w:spacing w:before="80" w:after="80"/>
        <w:jc w:val="both"/>
        <w:rPr>
          <w:rFonts w:ascii="Times New Roman" w:hAnsi="Times New Roman"/>
          <w:sz w:val="24"/>
          <w:szCs w:val="24"/>
        </w:rPr>
      </w:pPr>
      <w:r>
        <w:rPr>
          <w:rFonts w:ascii="Times New Roman" w:hAnsi="Times New Roman"/>
          <w:sz w:val="24"/>
          <w:szCs w:val="24"/>
        </w:rPr>
        <w:t xml:space="preserve">W dniu 2 marca 2010 r. zarząd ABC spółki z o.o. podjął uchwałę o zwołaniu zgromadzenia wspólników na dzień 15 kwietnia 2010 r. Na posiedzeniu było obecnych czterech spośród pięciu członków zarządu i wszyscy głosowali za podjęciem uchwały. Nieobecny członek zarządu twierdzi, że uchwała ta jest nieważna, ponieważ nie został on w ogóle powiadomiony o posiedzeniu. </w:t>
      </w:r>
    </w:p>
    <w:p w14:paraId="54CF5249" w14:textId="77777777" w:rsidR="00585CA1" w:rsidRDefault="00585CA1" w:rsidP="00585CA1">
      <w:pPr>
        <w:spacing w:before="80" w:after="80"/>
        <w:jc w:val="both"/>
        <w:rPr>
          <w:rFonts w:ascii="Times New Roman" w:hAnsi="Times New Roman"/>
          <w:sz w:val="24"/>
          <w:szCs w:val="24"/>
        </w:rPr>
      </w:pPr>
      <w:r>
        <w:rPr>
          <w:rFonts w:ascii="Times New Roman" w:hAnsi="Times New Roman"/>
          <w:sz w:val="24"/>
          <w:szCs w:val="24"/>
        </w:rPr>
        <w:t xml:space="preserve">W zawiadomieniu dokonanym listami poleconymi, wysłanymi w dniu 20 marca 2010, zarząd zapowiedział zmiany umowy spółki nie precyzując jednak dokładnie, na czym miałyby one polegać. </w:t>
      </w:r>
    </w:p>
    <w:p w14:paraId="30949D7E" w14:textId="77777777" w:rsidR="00585CA1" w:rsidRDefault="00585CA1" w:rsidP="00585CA1">
      <w:pPr>
        <w:spacing w:before="80" w:after="80"/>
        <w:jc w:val="both"/>
        <w:rPr>
          <w:rFonts w:ascii="Times New Roman" w:hAnsi="Times New Roman"/>
          <w:sz w:val="24"/>
          <w:szCs w:val="24"/>
        </w:rPr>
      </w:pPr>
      <w:r>
        <w:rPr>
          <w:rFonts w:ascii="Times New Roman" w:hAnsi="Times New Roman"/>
          <w:sz w:val="24"/>
          <w:szCs w:val="24"/>
        </w:rPr>
        <w:t xml:space="preserve">Na walnym zgromadzeniu podjęto m.in. uchwałę o zmianie umowy spółki polegającej na podwyższeniu kapitału zakładowego, a także o przymusowym umorzeniu udziałów wspólnika </w:t>
      </w:r>
      <w:r>
        <w:rPr>
          <w:rFonts w:ascii="Times New Roman" w:hAnsi="Times New Roman"/>
          <w:sz w:val="24"/>
          <w:szCs w:val="24"/>
        </w:rPr>
        <w:lastRenderedPageBreak/>
        <w:t xml:space="preserve">mniejszościowego Jana K. (10% kapitału zakładowego) z tego powodu, że prowadzi on działalność konkurencyjną w stosunku do spółki. Zgodnie z postanowieniem umowy spółki, udział może być umorzony bez zgody wspólnika m.in. w razie prowadzenia przez niego takiej działalności. Uchwała o przymusowym umorzeniu została podjęta w głosowaniu jawnym większością głosów reprezentujących ponad 70% udziałów. Głosowanie było jawne pomimo, że Jan K. zażądał głosowania tajnego. Jan K głosował przeciw uchwale oraz zażądał zaprotokołowania sprzeciwu, co jednak nie nastąpiło. </w:t>
      </w:r>
    </w:p>
    <w:p w14:paraId="506AB34E" w14:textId="77777777" w:rsidR="00585CA1" w:rsidRDefault="00585CA1" w:rsidP="00585CA1">
      <w:pPr>
        <w:spacing w:before="80" w:after="80"/>
        <w:jc w:val="both"/>
        <w:rPr>
          <w:rFonts w:ascii="Times New Roman" w:hAnsi="Times New Roman"/>
          <w:sz w:val="24"/>
          <w:szCs w:val="24"/>
        </w:rPr>
      </w:pPr>
      <w:r>
        <w:rPr>
          <w:rFonts w:ascii="Times New Roman" w:hAnsi="Times New Roman"/>
          <w:sz w:val="24"/>
          <w:szCs w:val="24"/>
        </w:rPr>
        <w:t xml:space="preserve">W dniu 30 kwietnia Jan K. zaskarżył uchwałę o przymusowym umorzeniu jego udziałów powództwem o stwierdzenie jej nieważności podnosząc, iż zgromadzenie zostało zwołane w sposób nieprawidłowy, a także, że sposób głosowania był nieprawidłowy. Pozwana spółka wnosi o odrzucenie pozwu ze względu na brak legitymacji Jana K. do zaskarżania uchwał ponieważ w wyniku umorzenia jego udziałów nie jest on już wspólnikiem, a uchwała o umorzeniu powinna być respektowana do czasu stwierdzenia jej nieważności bądź jej uchylenia. Protokół zgromadzenia nie zawiera wzmianki o jego sprzeciwie wobec podjętej uchwały. Ponadto, pozwana spółka podnosi, że uchybienia formalne na etapie zwołania walnego zgromadzenia i głosowania nie miały wpływu na podjęcie uchwały w sprawie umorzenia udziałów. Również bowiem w razie głosowania tajnego uchwała ta zostałaby podjęta. </w:t>
      </w:r>
    </w:p>
    <w:p w14:paraId="286D8A95" w14:textId="77777777" w:rsidR="00585CA1" w:rsidRPr="00C25ACC" w:rsidRDefault="00585CA1" w:rsidP="00585CA1">
      <w:pPr>
        <w:spacing w:before="80" w:after="80"/>
        <w:jc w:val="both"/>
        <w:rPr>
          <w:rFonts w:ascii="Times New Roman" w:hAnsi="Times New Roman"/>
          <w:sz w:val="24"/>
          <w:szCs w:val="24"/>
        </w:rPr>
      </w:pPr>
      <w:r>
        <w:rPr>
          <w:rFonts w:ascii="Times New Roman" w:hAnsi="Times New Roman"/>
          <w:sz w:val="24"/>
          <w:szCs w:val="24"/>
        </w:rPr>
        <w:t xml:space="preserve">Proszę ocenić stan prawny. </w:t>
      </w:r>
    </w:p>
    <w:p w14:paraId="0D6A4867" w14:textId="77777777" w:rsidR="00585CA1" w:rsidRDefault="00585CA1" w:rsidP="00585CA1">
      <w:pPr>
        <w:spacing w:before="80" w:after="80"/>
        <w:jc w:val="both"/>
        <w:rPr>
          <w:rFonts w:ascii="Times New Roman" w:hAnsi="Times New Roman"/>
          <w:i/>
          <w:sz w:val="24"/>
          <w:szCs w:val="24"/>
        </w:rPr>
      </w:pPr>
    </w:p>
    <w:p w14:paraId="41685BD4" w14:textId="77777777" w:rsidR="00585CA1" w:rsidRPr="00A82391" w:rsidRDefault="00585CA1" w:rsidP="00585CA1">
      <w:pPr>
        <w:spacing w:before="80" w:after="80"/>
        <w:jc w:val="both"/>
        <w:rPr>
          <w:rFonts w:ascii="Times New Roman" w:hAnsi="Times New Roman"/>
          <w:b/>
          <w:i/>
          <w:sz w:val="24"/>
          <w:szCs w:val="24"/>
        </w:rPr>
      </w:pPr>
      <w:r w:rsidRPr="00A82391">
        <w:rPr>
          <w:rFonts w:ascii="Times New Roman" w:hAnsi="Times New Roman"/>
          <w:b/>
          <w:i/>
          <w:sz w:val="24"/>
          <w:szCs w:val="24"/>
        </w:rPr>
        <w:t>Zob. wyroki:</w:t>
      </w:r>
    </w:p>
    <w:p w14:paraId="5B97A7A2" w14:textId="77777777" w:rsidR="00585CA1" w:rsidRDefault="00585CA1" w:rsidP="00585CA1">
      <w:pPr>
        <w:spacing w:before="80" w:after="80"/>
        <w:jc w:val="both"/>
        <w:rPr>
          <w:rFonts w:ascii="Times New Roman" w:hAnsi="Times New Roman"/>
          <w:i/>
          <w:sz w:val="24"/>
          <w:szCs w:val="24"/>
        </w:rPr>
      </w:pPr>
      <w:r w:rsidRPr="00A82391">
        <w:rPr>
          <w:rFonts w:ascii="Times New Roman" w:hAnsi="Times New Roman"/>
          <w:b/>
          <w:i/>
          <w:sz w:val="24"/>
          <w:szCs w:val="24"/>
        </w:rPr>
        <w:t>- wyrok SN z 12 maja 2005 r., V CK 562/2004</w:t>
      </w:r>
      <w:r>
        <w:rPr>
          <w:rFonts w:ascii="Times New Roman" w:hAnsi="Times New Roman"/>
          <w:i/>
          <w:sz w:val="24"/>
          <w:szCs w:val="24"/>
        </w:rPr>
        <w:t xml:space="preserve"> (Teza: „</w:t>
      </w:r>
      <w:r w:rsidRPr="00003A63">
        <w:rPr>
          <w:rFonts w:ascii="Times New Roman" w:hAnsi="Times New Roman"/>
          <w:i/>
          <w:sz w:val="24"/>
          <w:szCs w:val="24"/>
        </w:rPr>
        <w:t xml:space="preserve">Przymusowe umorzenie udziałów nie może być wykorzystywane do usunięcia wspólnika ze spółki z przyczyn przewidzianych w art. 266 § 1 </w:t>
      </w:r>
      <w:proofErr w:type="spellStart"/>
      <w:r w:rsidRPr="00003A63">
        <w:rPr>
          <w:rFonts w:ascii="Times New Roman" w:hAnsi="Times New Roman"/>
          <w:i/>
          <w:sz w:val="24"/>
          <w:szCs w:val="24"/>
        </w:rPr>
        <w:t>ksh</w:t>
      </w:r>
      <w:proofErr w:type="spellEnd"/>
      <w:r w:rsidRPr="00003A63">
        <w:rPr>
          <w:rFonts w:ascii="Times New Roman" w:hAnsi="Times New Roman"/>
          <w:i/>
          <w:sz w:val="24"/>
          <w:szCs w:val="24"/>
        </w:rPr>
        <w:t>.</w:t>
      </w:r>
      <w:r>
        <w:rPr>
          <w:rFonts w:ascii="Times New Roman" w:hAnsi="Times New Roman"/>
          <w:i/>
          <w:sz w:val="24"/>
          <w:szCs w:val="24"/>
        </w:rPr>
        <w:t>”)</w:t>
      </w:r>
    </w:p>
    <w:p w14:paraId="6406E6F6" w14:textId="77777777" w:rsidR="00585CA1" w:rsidRDefault="00585CA1" w:rsidP="00585CA1">
      <w:pPr>
        <w:spacing w:before="80" w:after="80"/>
        <w:jc w:val="both"/>
        <w:rPr>
          <w:rFonts w:ascii="Times New Roman" w:hAnsi="Times New Roman"/>
          <w:i/>
          <w:sz w:val="24"/>
          <w:szCs w:val="24"/>
        </w:rPr>
      </w:pPr>
      <w:r>
        <w:rPr>
          <w:rFonts w:ascii="Times New Roman" w:hAnsi="Times New Roman"/>
          <w:i/>
          <w:sz w:val="24"/>
          <w:szCs w:val="24"/>
        </w:rPr>
        <w:t xml:space="preserve">- </w:t>
      </w:r>
      <w:r w:rsidRPr="00EA041C">
        <w:rPr>
          <w:rFonts w:ascii="Times New Roman" w:hAnsi="Times New Roman"/>
          <w:b/>
          <w:i/>
          <w:sz w:val="24"/>
          <w:szCs w:val="24"/>
        </w:rPr>
        <w:t>wyrok SN z 15 października 2009 r., I CSK 94/2009</w:t>
      </w:r>
      <w:r>
        <w:rPr>
          <w:rFonts w:ascii="Times New Roman" w:hAnsi="Times New Roman"/>
          <w:i/>
          <w:sz w:val="24"/>
          <w:szCs w:val="24"/>
        </w:rPr>
        <w:t xml:space="preserve"> (Teza: „</w:t>
      </w:r>
      <w:r w:rsidRPr="00EA041C">
        <w:rPr>
          <w:rFonts w:ascii="Times New Roman" w:hAnsi="Times New Roman"/>
          <w:i/>
          <w:sz w:val="24"/>
          <w:szCs w:val="24"/>
        </w:rPr>
        <w:t>Podjęcie przez zgromadzenie wspólników uchwały w sprawie pozbawienia wspólnika członkostwa w spółce z o.o. nie pozbawia go możliwości zaskarżenia tej uchwały.</w:t>
      </w:r>
      <w:r>
        <w:rPr>
          <w:rFonts w:ascii="Times New Roman" w:hAnsi="Times New Roman"/>
          <w:i/>
          <w:sz w:val="24"/>
          <w:szCs w:val="24"/>
        </w:rPr>
        <w:t>”)</w:t>
      </w:r>
    </w:p>
    <w:p w14:paraId="77D767E5" w14:textId="77777777" w:rsidR="00585CA1" w:rsidRPr="00614B80" w:rsidRDefault="00585CA1" w:rsidP="00585CA1">
      <w:pPr>
        <w:spacing w:before="80" w:after="80"/>
        <w:jc w:val="both"/>
        <w:rPr>
          <w:rFonts w:ascii="Times New Roman" w:hAnsi="Times New Roman"/>
          <w:i/>
          <w:sz w:val="24"/>
          <w:szCs w:val="24"/>
        </w:rPr>
      </w:pPr>
      <w:r w:rsidRPr="00A82391">
        <w:rPr>
          <w:rFonts w:ascii="Times New Roman" w:hAnsi="Times New Roman"/>
          <w:b/>
          <w:i/>
          <w:sz w:val="24"/>
          <w:szCs w:val="24"/>
        </w:rPr>
        <w:t xml:space="preserve">- wyrok SN z 7 lutego </w:t>
      </w:r>
      <w:r w:rsidRPr="00614B80">
        <w:rPr>
          <w:rFonts w:ascii="Times New Roman" w:hAnsi="Times New Roman"/>
          <w:b/>
          <w:i/>
          <w:sz w:val="24"/>
          <w:szCs w:val="24"/>
        </w:rPr>
        <w:t>2006 r., IV CSK 41/2005</w:t>
      </w:r>
      <w:r w:rsidRPr="00614B80">
        <w:rPr>
          <w:rFonts w:ascii="Times New Roman" w:hAnsi="Times New Roman"/>
          <w:i/>
          <w:sz w:val="24"/>
          <w:szCs w:val="24"/>
        </w:rPr>
        <w:t xml:space="preserve"> (Teza: „Były akcjonariusz zachowuje legitymację do zaskarżenia uchwały walnego zgromadzenia, która dotyczy jego praw korporacyjnych lub majątkowych, natomiast traci legitymację do zaskarżania uchwał, które nie dotykają jego praw.”)</w:t>
      </w:r>
    </w:p>
    <w:p w14:paraId="1DB9B80D" w14:textId="77777777" w:rsidR="00585CA1" w:rsidRPr="00614B80" w:rsidRDefault="00585CA1" w:rsidP="00585CA1">
      <w:pPr>
        <w:spacing w:before="80" w:after="80"/>
        <w:jc w:val="both"/>
        <w:rPr>
          <w:rFonts w:ascii="Times New Roman" w:hAnsi="Times New Roman"/>
          <w:i/>
          <w:sz w:val="24"/>
          <w:szCs w:val="24"/>
        </w:rPr>
      </w:pPr>
      <w:r w:rsidRPr="00614B80">
        <w:rPr>
          <w:rFonts w:ascii="Times New Roman" w:hAnsi="Times New Roman"/>
          <w:b/>
          <w:i/>
          <w:sz w:val="24"/>
          <w:szCs w:val="24"/>
        </w:rPr>
        <w:t>- wyrok SN z 10 marca 2005 r., III CK 477/2004</w:t>
      </w:r>
      <w:r w:rsidRPr="00614B80">
        <w:rPr>
          <w:rFonts w:ascii="Times New Roman" w:hAnsi="Times New Roman"/>
          <w:i/>
          <w:sz w:val="24"/>
          <w:szCs w:val="24"/>
        </w:rPr>
        <w:t xml:space="preserve"> (Teza: „Podstawą żądania stwierdzenia nieważności uchwał walnego zgromadzenia akcjonariuszy mogą być zarówno przesłanki o charakterze materialnym związane z treścią podjętych uchwał, jak i przesłanki o charakterze formalnym związane ze sposobem prowadzenia zgromadzenia lub też nawet poprzedzające jego zwołanie, np. wadliwym zwołaniem walnego zgromadzenia akcjonariuszy. Uchwały walnego zgromadzenia akcjonariuszy o treści sprzecznej z przepisami ustawy niewątpliwie już z tego względu mogą być zaskarżone na gruncie art. 425 </w:t>
      </w:r>
      <w:proofErr w:type="spellStart"/>
      <w:r w:rsidRPr="00614B80">
        <w:rPr>
          <w:rFonts w:ascii="Times New Roman" w:hAnsi="Times New Roman"/>
          <w:i/>
          <w:sz w:val="24"/>
          <w:szCs w:val="24"/>
        </w:rPr>
        <w:t>ksh</w:t>
      </w:r>
      <w:proofErr w:type="spellEnd"/>
      <w:r w:rsidRPr="00614B80">
        <w:rPr>
          <w:rFonts w:ascii="Times New Roman" w:hAnsi="Times New Roman"/>
          <w:i/>
          <w:sz w:val="24"/>
          <w:szCs w:val="24"/>
        </w:rPr>
        <w:t>. Natomiast w przypadku uchybień formalnych podstawą żądania stwierdzenia nieważności uchwał walnego zgromadzenia akcjonariuszy mogą być tylko takie uchybienia formalne, które wywarły wpływ na treść uchwał.”)</w:t>
      </w:r>
    </w:p>
    <w:p w14:paraId="78D687F0" w14:textId="77777777" w:rsidR="00585CA1" w:rsidRPr="00614B80" w:rsidRDefault="00585CA1" w:rsidP="00585CA1">
      <w:pPr>
        <w:spacing w:before="80" w:after="80"/>
        <w:jc w:val="both"/>
        <w:rPr>
          <w:rFonts w:ascii="Times New Roman" w:hAnsi="Times New Roman"/>
          <w:i/>
          <w:sz w:val="24"/>
          <w:szCs w:val="24"/>
        </w:rPr>
      </w:pPr>
      <w:r w:rsidRPr="00614B80">
        <w:rPr>
          <w:rFonts w:ascii="Times New Roman" w:hAnsi="Times New Roman"/>
          <w:b/>
          <w:i/>
          <w:sz w:val="24"/>
          <w:szCs w:val="24"/>
        </w:rPr>
        <w:lastRenderedPageBreak/>
        <w:t>- wyrok SN z 16 lutego 2005 r. III CK 296/2004</w:t>
      </w:r>
      <w:r w:rsidRPr="00614B80">
        <w:rPr>
          <w:rFonts w:ascii="Times New Roman" w:hAnsi="Times New Roman"/>
          <w:i/>
          <w:sz w:val="24"/>
          <w:szCs w:val="24"/>
        </w:rPr>
        <w:t xml:space="preserve"> (Teza: „Podjęcie przez zarząd spółki akcyjnej uchwały o zwołaniu walnego zgromadzenia bez obecności jednego z członków zarządu, który o posiedzeniu nie był zawiadomiony, nie powoduje bezskuteczności jego zwołania, a podjętych na nim uchwał za nieistniejące. Uchwały takie mogą być zaskarżone na podstawie art. 425 § 1 </w:t>
      </w:r>
      <w:proofErr w:type="spellStart"/>
      <w:r w:rsidRPr="00614B80">
        <w:rPr>
          <w:rFonts w:ascii="Times New Roman" w:hAnsi="Times New Roman"/>
          <w:i/>
          <w:sz w:val="24"/>
          <w:szCs w:val="24"/>
        </w:rPr>
        <w:t>ksh</w:t>
      </w:r>
      <w:proofErr w:type="spellEnd"/>
      <w:r w:rsidRPr="00614B80">
        <w:rPr>
          <w:rFonts w:ascii="Times New Roman" w:hAnsi="Times New Roman"/>
          <w:i/>
          <w:sz w:val="24"/>
          <w:szCs w:val="24"/>
        </w:rPr>
        <w:t>.”)</w:t>
      </w:r>
    </w:p>
    <w:p w14:paraId="5929EB63" w14:textId="77777777" w:rsidR="00585CA1" w:rsidRDefault="00585CA1" w:rsidP="00585CA1">
      <w:pPr>
        <w:spacing w:before="80" w:after="80"/>
        <w:jc w:val="both"/>
        <w:rPr>
          <w:rFonts w:ascii="Times New Roman" w:hAnsi="Times New Roman"/>
          <w:i/>
          <w:sz w:val="24"/>
          <w:szCs w:val="24"/>
        </w:rPr>
      </w:pPr>
      <w:r w:rsidRPr="00614B80">
        <w:rPr>
          <w:rFonts w:ascii="Times New Roman" w:hAnsi="Times New Roman"/>
          <w:b/>
          <w:i/>
          <w:sz w:val="24"/>
          <w:szCs w:val="24"/>
        </w:rPr>
        <w:t>- wyrok SN z 5 lipca 2007 r. II CSK 163/2007</w:t>
      </w:r>
      <w:r w:rsidRPr="00614B80">
        <w:rPr>
          <w:rFonts w:ascii="Times New Roman" w:hAnsi="Times New Roman"/>
          <w:i/>
          <w:sz w:val="24"/>
          <w:szCs w:val="24"/>
        </w:rPr>
        <w:t xml:space="preserve"> (Teza: „Artykuł 425 § 1 </w:t>
      </w:r>
      <w:proofErr w:type="spellStart"/>
      <w:r w:rsidRPr="00614B80">
        <w:rPr>
          <w:rFonts w:ascii="Times New Roman" w:hAnsi="Times New Roman"/>
          <w:i/>
          <w:sz w:val="24"/>
          <w:szCs w:val="24"/>
        </w:rPr>
        <w:t>ksh</w:t>
      </w:r>
      <w:proofErr w:type="spellEnd"/>
      <w:r w:rsidRPr="00614B80">
        <w:rPr>
          <w:rFonts w:ascii="Times New Roman" w:hAnsi="Times New Roman"/>
          <w:i/>
          <w:sz w:val="24"/>
          <w:szCs w:val="24"/>
        </w:rPr>
        <w:t xml:space="preserve"> stosuje się także do uchwał podjętych z naruszeniem ustawowych wymagań proceduralnych, jeżeli naruszenie to mogło mieć istotny wpływ na treść uchwał.”)</w:t>
      </w:r>
    </w:p>
    <w:p w14:paraId="38380FB4" w14:textId="77777777" w:rsidR="00585CA1" w:rsidRDefault="00585CA1" w:rsidP="00585CA1">
      <w:pPr>
        <w:spacing w:before="80" w:after="80"/>
        <w:jc w:val="both"/>
        <w:rPr>
          <w:rFonts w:ascii="Times New Roman" w:hAnsi="Times New Roman"/>
          <w:i/>
          <w:sz w:val="24"/>
          <w:szCs w:val="24"/>
        </w:rPr>
      </w:pPr>
      <w:r w:rsidRPr="00614B80">
        <w:rPr>
          <w:rFonts w:ascii="Times New Roman" w:hAnsi="Times New Roman"/>
          <w:b/>
          <w:i/>
          <w:sz w:val="24"/>
          <w:szCs w:val="24"/>
        </w:rPr>
        <w:t>- wyrok SN z 26 maja 1999, III CKN 261/98, OSNC 2000/1/7</w:t>
      </w:r>
      <w:r>
        <w:rPr>
          <w:rFonts w:ascii="Times New Roman" w:hAnsi="Times New Roman"/>
          <w:i/>
          <w:sz w:val="24"/>
          <w:szCs w:val="24"/>
        </w:rPr>
        <w:t xml:space="preserve"> (Teza: „</w:t>
      </w:r>
      <w:r w:rsidRPr="00614B80">
        <w:rPr>
          <w:rFonts w:ascii="Times New Roman" w:hAnsi="Times New Roman"/>
          <w:i/>
          <w:sz w:val="24"/>
          <w:szCs w:val="24"/>
        </w:rPr>
        <w:t>Naruszenie przewidzianego w art. 411 k.h. obowiązku tajnego głosowania przy wyborach na walnym zgromadzeniu akcjonariuszy spółki akcyjnej stanowi z reguły uchybienie mające wpływ na wynik wyborów, a zatem jest wystarczającą podstawą do skutecznego zaskarżenia na mocy art. 413 k.h. podjętej w ten sposób uchwały wyborczej.</w:t>
      </w:r>
      <w:r>
        <w:rPr>
          <w:rFonts w:ascii="Times New Roman" w:hAnsi="Times New Roman"/>
          <w:i/>
          <w:sz w:val="24"/>
          <w:szCs w:val="24"/>
        </w:rPr>
        <w:t>”)</w:t>
      </w:r>
    </w:p>
    <w:p w14:paraId="59BF44F4" w14:textId="77777777" w:rsidR="00585CA1" w:rsidRDefault="00585CA1" w:rsidP="00585CA1">
      <w:pPr>
        <w:spacing w:before="80" w:after="80"/>
        <w:jc w:val="both"/>
        <w:rPr>
          <w:rFonts w:ascii="Times New Roman" w:hAnsi="Times New Roman"/>
          <w:i/>
          <w:sz w:val="24"/>
          <w:szCs w:val="24"/>
        </w:rPr>
      </w:pPr>
      <w:r w:rsidRPr="00A04C64">
        <w:rPr>
          <w:rFonts w:ascii="Times New Roman" w:hAnsi="Times New Roman"/>
          <w:b/>
          <w:i/>
          <w:sz w:val="24"/>
          <w:szCs w:val="24"/>
        </w:rPr>
        <w:t xml:space="preserve">- wyrok  SN z dnia 26 września 2001 r. IV CKN 471/2000 </w:t>
      </w:r>
      <w:r>
        <w:rPr>
          <w:rFonts w:ascii="Times New Roman" w:hAnsi="Times New Roman"/>
          <w:i/>
          <w:sz w:val="24"/>
          <w:szCs w:val="24"/>
        </w:rPr>
        <w:t>(Teza: „</w:t>
      </w:r>
      <w:r w:rsidRPr="00A04C64">
        <w:rPr>
          <w:rFonts w:ascii="Times New Roman" w:hAnsi="Times New Roman"/>
          <w:i/>
          <w:sz w:val="24"/>
          <w:szCs w:val="24"/>
        </w:rPr>
        <w:t>Jeżeli protokół zgromadzenia wspólników spółki z ograniczoną odpowiedzialnością nie zawiera wzmianki o tym, że wspólnik zażądał zaprotokołowania sprzeciwu przeciwko uchwale zainteresowany może przeprowadzić dowód na tę okoliczność w procesie o uchylenie uchwały.</w:t>
      </w:r>
      <w:r>
        <w:rPr>
          <w:rFonts w:ascii="Times New Roman" w:hAnsi="Times New Roman"/>
          <w:i/>
          <w:sz w:val="24"/>
          <w:szCs w:val="24"/>
        </w:rPr>
        <w:t>”)</w:t>
      </w:r>
    </w:p>
    <w:p w14:paraId="19C5394E" w14:textId="77777777" w:rsidR="00120572" w:rsidRPr="00614B80" w:rsidRDefault="00120572" w:rsidP="00585CA1">
      <w:pPr>
        <w:spacing w:before="80" w:after="80"/>
        <w:jc w:val="both"/>
        <w:rPr>
          <w:rFonts w:ascii="Times New Roman" w:hAnsi="Times New Roman"/>
          <w:i/>
          <w:sz w:val="24"/>
          <w:szCs w:val="24"/>
        </w:rPr>
      </w:pPr>
      <w:r>
        <w:rPr>
          <w:rFonts w:ascii="Times New Roman" w:hAnsi="Times New Roman"/>
          <w:i/>
          <w:sz w:val="24"/>
          <w:szCs w:val="24"/>
        </w:rPr>
        <w:t xml:space="preserve">- </w:t>
      </w:r>
      <w:r w:rsidRPr="00120572">
        <w:rPr>
          <w:rFonts w:ascii="Times New Roman" w:hAnsi="Times New Roman"/>
          <w:b/>
          <w:i/>
          <w:sz w:val="24"/>
          <w:szCs w:val="24"/>
        </w:rPr>
        <w:t>Wyrok SN z dnia 10 marca 2016 r., II CZP 1/16</w:t>
      </w:r>
      <w:r>
        <w:rPr>
          <w:rFonts w:ascii="Times New Roman" w:hAnsi="Times New Roman"/>
          <w:i/>
          <w:sz w:val="24"/>
          <w:szCs w:val="24"/>
        </w:rPr>
        <w:t xml:space="preserve"> (Teza: „</w:t>
      </w:r>
      <w:r w:rsidRPr="00120572">
        <w:rPr>
          <w:rFonts w:ascii="Times New Roman" w:hAnsi="Times New Roman"/>
          <w:i/>
          <w:sz w:val="24"/>
          <w:szCs w:val="24"/>
        </w:rPr>
        <w:t xml:space="preserve">Sprzeczność uchwały wspólników spółki z ograniczoną odpowiedzialnością z umową spółki nie jest samodzielną przesłanką uzasadniającą uwzględnienie powództwa o uchylenie tej uchwały (art. 249 § 1 </w:t>
      </w:r>
      <w:proofErr w:type="spellStart"/>
      <w:r w:rsidRPr="00120572">
        <w:rPr>
          <w:rFonts w:ascii="Times New Roman" w:hAnsi="Times New Roman"/>
          <w:i/>
          <w:sz w:val="24"/>
          <w:szCs w:val="24"/>
        </w:rPr>
        <w:t>k.s.h</w:t>
      </w:r>
      <w:proofErr w:type="spellEnd"/>
      <w:r w:rsidRPr="00120572">
        <w:rPr>
          <w:rFonts w:ascii="Times New Roman" w:hAnsi="Times New Roman"/>
          <w:i/>
          <w:sz w:val="24"/>
          <w:szCs w:val="24"/>
        </w:rPr>
        <w:t>.)</w:t>
      </w:r>
      <w:r>
        <w:rPr>
          <w:rFonts w:ascii="Times New Roman" w:hAnsi="Times New Roman"/>
          <w:i/>
          <w:sz w:val="24"/>
          <w:szCs w:val="24"/>
        </w:rPr>
        <w:t>")</w:t>
      </w:r>
      <w:r w:rsidRPr="00120572">
        <w:rPr>
          <w:rFonts w:ascii="Times New Roman" w:hAnsi="Times New Roman"/>
          <w:i/>
          <w:sz w:val="24"/>
          <w:szCs w:val="24"/>
        </w:rPr>
        <w:t>.</w:t>
      </w:r>
    </w:p>
    <w:p w14:paraId="3E34380F" w14:textId="77777777" w:rsidR="00BE3C21" w:rsidRDefault="00BE3C21" w:rsidP="00585CA1">
      <w:pPr>
        <w:jc w:val="both"/>
      </w:pPr>
    </w:p>
    <w:sectPr w:rsidR="00BE3C21" w:rsidSect="00745259">
      <w:footerReference w:type="default" r:id="rId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E44E4B" w14:textId="77777777" w:rsidR="00745259" w:rsidRDefault="00745259" w:rsidP="00C2326B">
      <w:pPr>
        <w:spacing w:after="0" w:line="240" w:lineRule="auto"/>
      </w:pPr>
      <w:r>
        <w:separator/>
      </w:r>
    </w:p>
  </w:endnote>
  <w:endnote w:type="continuationSeparator" w:id="0">
    <w:p w14:paraId="4B7C9469" w14:textId="77777777" w:rsidR="00745259" w:rsidRDefault="00745259" w:rsidP="00C232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0591089"/>
      <w:docPartObj>
        <w:docPartGallery w:val="Page Numbers (Bottom of Page)"/>
        <w:docPartUnique/>
      </w:docPartObj>
    </w:sdtPr>
    <w:sdtContent>
      <w:p w14:paraId="2FD23D8F" w14:textId="77777777" w:rsidR="00500366" w:rsidRDefault="00000000">
        <w:pPr>
          <w:pStyle w:val="Stopka"/>
          <w:jc w:val="center"/>
        </w:pPr>
        <w:r>
          <w:fldChar w:fldCharType="begin"/>
        </w:r>
        <w:r>
          <w:instrText xml:space="preserve"> PAGE   \* MERGEFORMAT </w:instrText>
        </w:r>
        <w:r>
          <w:fldChar w:fldCharType="separate"/>
        </w:r>
        <w:r w:rsidR="00960E73">
          <w:rPr>
            <w:noProof/>
          </w:rPr>
          <w:t>2</w:t>
        </w:r>
        <w:r>
          <w:rPr>
            <w:noProof/>
          </w:rPr>
          <w:fldChar w:fldCharType="end"/>
        </w:r>
      </w:p>
    </w:sdtContent>
  </w:sdt>
  <w:p w14:paraId="2F905A50" w14:textId="77777777" w:rsidR="00500366" w:rsidRDefault="0050036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12BB0F" w14:textId="77777777" w:rsidR="00745259" w:rsidRDefault="00745259" w:rsidP="00C2326B">
      <w:pPr>
        <w:spacing w:after="0" w:line="240" w:lineRule="auto"/>
      </w:pPr>
      <w:r>
        <w:separator/>
      </w:r>
    </w:p>
  </w:footnote>
  <w:footnote w:type="continuationSeparator" w:id="0">
    <w:p w14:paraId="52749DEF" w14:textId="77777777" w:rsidR="00745259" w:rsidRDefault="00745259" w:rsidP="00C2326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applyBreakingRules/>
    <w:compatSetting w:name="compatibilityMode" w:uri="http://schemas.microsoft.com/office/word" w:val="12"/>
    <w:compatSetting w:name="useWord2013TrackBottomHyphenation" w:uri="http://schemas.microsoft.com/office/word" w:val="1"/>
  </w:compat>
  <w:rsids>
    <w:rsidRoot w:val="003B2F89"/>
    <w:rsid w:val="00014A21"/>
    <w:rsid w:val="00022F23"/>
    <w:rsid w:val="000542C0"/>
    <w:rsid w:val="00066103"/>
    <w:rsid w:val="000713D2"/>
    <w:rsid w:val="000A3B1D"/>
    <w:rsid w:val="000F2E92"/>
    <w:rsid w:val="00120572"/>
    <w:rsid w:val="00173DEE"/>
    <w:rsid w:val="00197A24"/>
    <w:rsid w:val="001B4665"/>
    <w:rsid w:val="001D3728"/>
    <w:rsid w:val="001F1CFE"/>
    <w:rsid w:val="001F231A"/>
    <w:rsid w:val="00217F19"/>
    <w:rsid w:val="002348A4"/>
    <w:rsid w:val="00244ABA"/>
    <w:rsid w:val="00255539"/>
    <w:rsid w:val="00264AD2"/>
    <w:rsid w:val="00267CA5"/>
    <w:rsid w:val="00271CC9"/>
    <w:rsid w:val="002A0D26"/>
    <w:rsid w:val="002C2F22"/>
    <w:rsid w:val="002F080F"/>
    <w:rsid w:val="0031146E"/>
    <w:rsid w:val="003245CD"/>
    <w:rsid w:val="00354CD0"/>
    <w:rsid w:val="00364886"/>
    <w:rsid w:val="003B2F89"/>
    <w:rsid w:val="003C5DC7"/>
    <w:rsid w:val="004018EB"/>
    <w:rsid w:val="00442225"/>
    <w:rsid w:val="004A2544"/>
    <w:rsid w:val="004B422B"/>
    <w:rsid w:val="004D5927"/>
    <w:rsid w:val="00500366"/>
    <w:rsid w:val="00501398"/>
    <w:rsid w:val="00520B71"/>
    <w:rsid w:val="005810F3"/>
    <w:rsid w:val="00585CA1"/>
    <w:rsid w:val="0059456F"/>
    <w:rsid w:val="005F0FA9"/>
    <w:rsid w:val="005F4C43"/>
    <w:rsid w:val="00667794"/>
    <w:rsid w:val="00690187"/>
    <w:rsid w:val="006B13A0"/>
    <w:rsid w:val="006C683F"/>
    <w:rsid w:val="006E2F4C"/>
    <w:rsid w:val="00745259"/>
    <w:rsid w:val="00760F09"/>
    <w:rsid w:val="00777A98"/>
    <w:rsid w:val="007A67AB"/>
    <w:rsid w:val="007E1669"/>
    <w:rsid w:val="008015C1"/>
    <w:rsid w:val="00801D51"/>
    <w:rsid w:val="008442AC"/>
    <w:rsid w:val="008B13DE"/>
    <w:rsid w:val="008B6CA2"/>
    <w:rsid w:val="00933FD3"/>
    <w:rsid w:val="00960E73"/>
    <w:rsid w:val="0096545C"/>
    <w:rsid w:val="009D0BC8"/>
    <w:rsid w:val="009E44E0"/>
    <w:rsid w:val="00A3654B"/>
    <w:rsid w:val="00A456B5"/>
    <w:rsid w:val="00A815BB"/>
    <w:rsid w:val="00A83424"/>
    <w:rsid w:val="00A8601C"/>
    <w:rsid w:val="00A87D58"/>
    <w:rsid w:val="00A97BC7"/>
    <w:rsid w:val="00AD014E"/>
    <w:rsid w:val="00AD2D4E"/>
    <w:rsid w:val="00AE17D9"/>
    <w:rsid w:val="00AE27A9"/>
    <w:rsid w:val="00AF5277"/>
    <w:rsid w:val="00B860A0"/>
    <w:rsid w:val="00BA2E13"/>
    <w:rsid w:val="00BA3FC3"/>
    <w:rsid w:val="00BC39E5"/>
    <w:rsid w:val="00BE3C21"/>
    <w:rsid w:val="00C0512E"/>
    <w:rsid w:val="00C12588"/>
    <w:rsid w:val="00C2326B"/>
    <w:rsid w:val="00C95CBE"/>
    <w:rsid w:val="00CA2AA4"/>
    <w:rsid w:val="00CB4A33"/>
    <w:rsid w:val="00CC4CA4"/>
    <w:rsid w:val="00D01955"/>
    <w:rsid w:val="00D26D0C"/>
    <w:rsid w:val="00D45C9A"/>
    <w:rsid w:val="00D71417"/>
    <w:rsid w:val="00D759D0"/>
    <w:rsid w:val="00DA0A56"/>
    <w:rsid w:val="00E27D32"/>
    <w:rsid w:val="00E33980"/>
    <w:rsid w:val="00E60DDD"/>
    <w:rsid w:val="00ED3918"/>
    <w:rsid w:val="00EE3145"/>
    <w:rsid w:val="00F05A67"/>
    <w:rsid w:val="00F17BB4"/>
    <w:rsid w:val="00F21160"/>
    <w:rsid w:val="00F359D0"/>
    <w:rsid w:val="00F557BD"/>
    <w:rsid w:val="00F911D3"/>
    <w:rsid w:val="00FC0C0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6546EA"/>
  <w15:docId w15:val="{C57A2573-8C84-48DD-B309-93280F674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B2F89"/>
    <w:rPr>
      <w:rFonts w:ascii="Calibri" w:eastAsia="Calibri" w:hAnsi="Calibri" w:cs="Times New Roman"/>
    </w:rPr>
  </w:style>
  <w:style w:type="paragraph" w:styleId="Nagwek1">
    <w:name w:val="heading 1"/>
    <w:basedOn w:val="Normalny"/>
    <w:next w:val="Normalny"/>
    <w:link w:val="Nagwek1Znak"/>
    <w:uiPriority w:val="9"/>
    <w:qFormat/>
    <w:rsid w:val="00BA3FC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uiPriority w:val="9"/>
    <w:unhideWhenUsed/>
    <w:qFormat/>
    <w:rsid w:val="00BA3FC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gwek3">
    <w:name w:val="heading 3"/>
    <w:basedOn w:val="Normalny"/>
    <w:next w:val="Normalny"/>
    <w:link w:val="Nagwek3Znak"/>
    <w:uiPriority w:val="9"/>
    <w:unhideWhenUsed/>
    <w:qFormat/>
    <w:rsid w:val="00BA3FC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semiHidden/>
    <w:unhideWhenUsed/>
    <w:rsid w:val="00C2326B"/>
    <w:pPr>
      <w:tabs>
        <w:tab w:val="center" w:pos="4536"/>
        <w:tab w:val="right" w:pos="9072"/>
      </w:tabs>
      <w:spacing w:after="0" w:line="240" w:lineRule="auto"/>
    </w:pPr>
  </w:style>
  <w:style w:type="character" w:customStyle="1" w:styleId="NagwekZnak">
    <w:name w:val="Nagłówek Znak"/>
    <w:basedOn w:val="Domylnaczcionkaakapitu"/>
    <w:link w:val="Nagwek"/>
    <w:uiPriority w:val="99"/>
    <w:semiHidden/>
    <w:rsid w:val="00C2326B"/>
    <w:rPr>
      <w:rFonts w:ascii="Calibri" w:eastAsia="Calibri" w:hAnsi="Calibri" w:cs="Times New Roman"/>
    </w:rPr>
  </w:style>
  <w:style w:type="paragraph" w:styleId="Stopka">
    <w:name w:val="footer"/>
    <w:basedOn w:val="Normalny"/>
    <w:link w:val="StopkaZnak"/>
    <w:uiPriority w:val="99"/>
    <w:unhideWhenUsed/>
    <w:rsid w:val="00C2326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C2326B"/>
    <w:rPr>
      <w:rFonts w:ascii="Calibri" w:eastAsia="Calibri" w:hAnsi="Calibri" w:cs="Times New Roman"/>
    </w:rPr>
  </w:style>
  <w:style w:type="character" w:customStyle="1" w:styleId="Nagwek1Znak">
    <w:name w:val="Nagłówek 1 Znak"/>
    <w:basedOn w:val="Domylnaczcionkaakapitu"/>
    <w:link w:val="Nagwek1"/>
    <w:uiPriority w:val="9"/>
    <w:rsid w:val="00BA3FC3"/>
    <w:rPr>
      <w:rFonts w:asciiTheme="majorHAnsi" w:eastAsiaTheme="majorEastAsia" w:hAnsiTheme="majorHAnsi" w:cstheme="majorBidi"/>
      <w:b/>
      <w:bCs/>
      <w:color w:val="365F91" w:themeColor="accent1" w:themeShade="BF"/>
      <w:sz w:val="28"/>
      <w:szCs w:val="28"/>
    </w:rPr>
  </w:style>
  <w:style w:type="character" w:customStyle="1" w:styleId="Nagwek2Znak">
    <w:name w:val="Nagłówek 2 Znak"/>
    <w:basedOn w:val="Domylnaczcionkaakapitu"/>
    <w:link w:val="Nagwek2"/>
    <w:uiPriority w:val="9"/>
    <w:rsid w:val="00BA3FC3"/>
    <w:rPr>
      <w:rFonts w:asciiTheme="majorHAnsi" w:eastAsiaTheme="majorEastAsia" w:hAnsiTheme="majorHAnsi" w:cstheme="majorBidi"/>
      <w:b/>
      <w:bCs/>
      <w:color w:val="4F81BD" w:themeColor="accent1"/>
      <w:sz w:val="26"/>
      <w:szCs w:val="26"/>
    </w:rPr>
  </w:style>
  <w:style w:type="character" w:customStyle="1" w:styleId="Nagwek3Znak">
    <w:name w:val="Nagłówek 3 Znak"/>
    <w:basedOn w:val="Domylnaczcionkaakapitu"/>
    <w:link w:val="Nagwek3"/>
    <w:uiPriority w:val="9"/>
    <w:rsid w:val="00BA3FC3"/>
    <w:rPr>
      <w:rFonts w:asciiTheme="majorHAnsi" w:eastAsiaTheme="majorEastAsia" w:hAnsiTheme="majorHAnsi" w:cstheme="majorBidi"/>
      <w:b/>
      <w:bCs/>
      <w:color w:val="4F81BD" w:themeColor="accent1"/>
    </w:rPr>
  </w:style>
  <w:style w:type="paragraph" w:styleId="Lista">
    <w:name w:val="List"/>
    <w:basedOn w:val="Normalny"/>
    <w:uiPriority w:val="99"/>
    <w:unhideWhenUsed/>
    <w:rsid w:val="00BA3FC3"/>
    <w:pPr>
      <w:ind w:left="283" w:hanging="283"/>
      <w:contextualSpacing/>
    </w:pPr>
  </w:style>
  <w:style w:type="paragraph" w:styleId="Lista2">
    <w:name w:val="List 2"/>
    <w:basedOn w:val="Normalny"/>
    <w:uiPriority w:val="99"/>
    <w:unhideWhenUsed/>
    <w:rsid w:val="00BA3FC3"/>
    <w:pPr>
      <w:ind w:left="566" w:hanging="283"/>
      <w:contextualSpacing/>
    </w:pPr>
  </w:style>
  <w:style w:type="paragraph" w:styleId="Tytu">
    <w:name w:val="Title"/>
    <w:basedOn w:val="Normalny"/>
    <w:next w:val="Normalny"/>
    <w:link w:val="TytuZnak"/>
    <w:uiPriority w:val="10"/>
    <w:qFormat/>
    <w:rsid w:val="00BA3FC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ytuZnak">
    <w:name w:val="Tytuł Znak"/>
    <w:basedOn w:val="Domylnaczcionkaakapitu"/>
    <w:link w:val="Tytu"/>
    <w:uiPriority w:val="10"/>
    <w:rsid w:val="00BA3FC3"/>
    <w:rPr>
      <w:rFonts w:asciiTheme="majorHAnsi" w:eastAsiaTheme="majorEastAsia" w:hAnsiTheme="majorHAnsi" w:cstheme="majorBidi"/>
      <w:color w:val="17365D" w:themeColor="text2" w:themeShade="BF"/>
      <w:spacing w:val="5"/>
      <w:kern w:val="28"/>
      <w:sz w:val="52"/>
      <w:szCs w:val="52"/>
    </w:rPr>
  </w:style>
  <w:style w:type="paragraph" w:styleId="Tekstpodstawowy">
    <w:name w:val="Body Text"/>
    <w:basedOn w:val="Normalny"/>
    <w:link w:val="TekstpodstawowyZnak"/>
    <w:uiPriority w:val="99"/>
    <w:unhideWhenUsed/>
    <w:rsid w:val="00BA3FC3"/>
    <w:pPr>
      <w:spacing w:after="120"/>
    </w:pPr>
  </w:style>
  <w:style w:type="character" w:customStyle="1" w:styleId="TekstpodstawowyZnak">
    <w:name w:val="Tekst podstawowy Znak"/>
    <w:basedOn w:val="Domylnaczcionkaakapitu"/>
    <w:link w:val="Tekstpodstawowy"/>
    <w:uiPriority w:val="99"/>
    <w:rsid w:val="00BA3FC3"/>
    <w:rPr>
      <w:rFonts w:ascii="Calibri" w:eastAsia="Calibri" w:hAnsi="Calibri" w:cs="Times New Roman"/>
    </w:rPr>
  </w:style>
  <w:style w:type="paragraph" w:styleId="Podtytu">
    <w:name w:val="Subtitle"/>
    <w:basedOn w:val="Normalny"/>
    <w:next w:val="Normalny"/>
    <w:link w:val="PodtytuZnak"/>
    <w:uiPriority w:val="11"/>
    <w:qFormat/>
    <w:rsid w:val="00BA3FC3"/>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BA3FC3"/>
    <w:rPr>
      <w:rFonts w:asciiTheme="majorHAnsi" w:eastAsiaTheme="majorEastAsia" w:hAnsiTheme="majorHAnsi" w:cstheme="majorBidi"/>
      <w:i/>
      <w:iCs/>
      <w:color w:val="4F81BD" w:themeColor="accent1"/>
      <w:spacing w:val="15"/>
      <w:sz w:val="24"/>
      <w:szCs w:val="24"/>
    </w:rPr>
  </w:style>
  <w:style w:type="paragraph" w:customStyle="1" w:styleId="Tekstblokuinformacji">
    <w:name w:val="Tekst bloku informacji"/>
    <w:basedOn w:val="Normalny"/>
    <w:rsid w:val="00BA3FC3"/>
  </w:style>
  <w:style w:type="paragraph" w:styleId="Tekstpodstawowyzwciciem">
    <w:name w:val="Body Text First Indent"/>
    <w:basedOn w:val="Tekstpodstawowy"/>
    <w:link w:val="TekstpodstawowyzwciciemZnak"/>
    <w:uiPriority w:val="99"/>
    <w:unhideWhenUsed/>
    <w:rsid w:val="00BA3FC3"/>
    <w:pPr>
      <w:spacing w:after="200"/>
      <w:ind w:firstLine="360"/>
    </w:pPr>
  </w:style>
  <w:style w:type="character" w:customStyle="1" w:styleId="TekstpodstawowyzwciciemZnak">
    <w:name w:val="Tekst podstawowy z wcięciem Znak"/>
    <w:basedOn w:val="TekstpodstawowyZnak"/>
    <w:link w:val="Tekstpodstawowyzwciciem"/>
    <w:uiPriority w:val="99"/>
    <w:rsid w:val="00BA3FC3"/>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1610</TotalTime>
  <Pages>18</Pages>
  <Words>8569</Words>
  <Characters>45332</Characters>
  <Application>Microsoft Office Word</Application>
  <DocSecurity>0</DocSecurity>
  <Lines>638</Lines>
  <Paragraphs>101</Paragraphs>
  <ScaleCrop>false</ScaleCrop>
  <HeadingPairs>
    <vt:vector size="2" baseType="variant">
      <vt:variant>
        <vt:lpstr>Tytuł</vt:lpstr>
      </vt:variant>
      <vt:variant>
        <vt:i4>1</vt:i4>
      </vt:variant>
    </vt:vector>
  </HeadingPairs>
  <TitlesOfParts>
    <vt:vector size="1" baseType="lpstr">
      <vt:lpstr/>
    </vt:vector>
  </TitlesOfParts>
  <Company>Hewlett-Packard</Company>
  <LinksUpToDate>false</LinksUpToDate>
  <CharactersWithSpaces>53800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Krzysztof</dc:creator>
  <cp:lastModifiedBy>Krzysztof Oplustil</cp:lastModifiedBy>
  <cp:revision>19</cp:revision>
  <dcterms:created xsi:type="dcterms:W3CDTF">2015-02-28T00:35:00Z</dcterms:created>
  <dcterms:modified xsi:type="dcterms:W3CDTF">2024-04-26T09:31:00Z</dcterms:modified>
</cp:coreProperties>
</file>