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14D46" w:rsidRDefault="00C14D46" w:rsidP="00C14D46">
      <w:pPr>
        <w:pStyle w:val="Standard"/>
        <w:jc w:val="both"/>
      </w:pPr>
    </w:p>
    <w:p w:rsidR="00022FD9" w:rsidRDefault="00022FD9"/>
    <w:p w:rsidR="00C14D46" w:rsidRDefault="00C14D46"/>
    <w:p w:rsidR="00C14D46" w:rsidRDefault="00C14D46" w:rsidP="00C14D46">
      <w:pPr>
        <w:pStyle w:val="Standard"/>
        <w:jc w:val="center"/>
        <w:rPr>
          <w:b/>
          <w:lang w:eastAsia="ar-SA"/>
        </w:rPr>
      </w:pPr>
      <w:r>
        <w:rPr>
          <w:b/>
          <w:lang w:eastAsia="ar-SA"/>
        </w:rPr>
        <w:t>18 maja 2025</w:t>
      </w:r>
      <w:r>
        <w:rPr>
          <w:b/>
          <w:lang w:eastAsia="ar-SA"/>
        </w:rPr>
        <w:t xml:space="preserve"> – Postępowanie cywilne. Kazusy</w:t>
      </w:r>
    </w:p>
    <w:p w:rsidR="00C14D46" w:rsidRDefault="00C14D46" w:rsidP="00C14D46">
      <w:pPr>
        <w:pStyle w:val="Standard"/>
        <w:jc w:val="center"/>
        <w:rPr>
          <w:b/>
          <w:lang w:eastAsia="ar-SA"/>
        </w:rPr>
      </w:pPr>
    </w:p>
    <w:p w:rsidR="00C14D46" w:rsidRDefault="00C14D46" w:rsidP="00C14D46">
      <w:pPr>
        <w:pStyle w:val="Standard"/>
        <w:jc w:val="center"/>
        <w:rPr>
          <w:b/>
          <w:lang w:eastAsia="ar-SA"/>
        </w:rPr>
      </w:pPr>
    </w:p>
    <w:p w:rsidR="00C14D46" w:rsidRDefault="00B8262D" w:rsidP="00C14D46">
      <w:pPr>
        <w:pStyle w:val="Standard"/>
        <w:jc w:val="both"/>
      </w:pPr>
      <w:r>
        <w:t>1</w:t>
      </w:r>
      <w:r w:rsidR="00C14D46">
        <w:t>. Powód wraz z pozwem złożył wniosek o ustanowienie dla niego pełnomocnika z urzędu. Postanowieniem wydanym na posiedzeniu niejawnym, Sąd ustanowił dla powoda pełnomocnika z urzędu w osobie adwokata. Pozwany po doręczeniu mu odpisu wymienionego postanowienia, zaskarżył je w drodze zażalenia, zarzucając że powód w dołączonym do wniosku oświadczeniu majątkowym zataił informacje o posiadanych przez siebie oszczędnościach oraz wartościowych ruchomościach. Sąd odwoławczy uwzględniając zażalenie, cofnął ustanowienie dla powoda pełnomocnika z urzędu i skazał powoda na grzywnę w kwocie 10.000 zł za podanie fałszywych informacji w oświadczeniu majątkowym. Czy w opisywanej sprawie doszło do uchybień? Na czym polegały?</w:t>
      </w:r>
    </w:p>
    <w:p w:rsidR="00C14D46" w:rsidRDefault="00C14D46" w:rsidP="00C14D46">
      <w:pPr>
        <w:pStyle w:val="Standard"/>
        <w:jc w:val="both"/>
      </w:pPr>
    </w:p>
    <w:p w:rsidR="00C14D46" w:rsidRDefault="00C14D46" w:rsidP="00C14D46">
      <w:pPr>
        <w:pStyle w:val="Tekstpodstawowy2"/>
      </w:pPr>
    </w:p>
    <w:p w:rsidR="008361E7" w:rsidRDefault="008361E7" w:rsidP="00C14D46">
      <w:pPr>
        <w:pStyle w:val="Tekstpodstawowy2"/>
      </w:pPr>
    </w:p>
    <w:p w:rsidR="00C14D46" w:rsidRDefault="00B8262D" w:rsidP="00C14D46">
      <w:pPr>
        <w:pStyle w:val="Tekstpodstawowy2"/>
      </w:pPr>
      <w:r>
        <w:rPr>
          <w:iCs w:val="0"/>
          <w:lang w:eastAsia="ar-SA"/>
        </w:rPr>
        <w:t>2</w:t>
      </w:r>
      <w:r w:rsidR="00C14D46">
        <w:rPr>
          <w:iCs w:val="0"/>
          <w:lang w:eastAsia="ar-SA"/>
        </w:rPr>
        <w:t xml:space="preserve">. </w:t>
      </w:r>
      <w:r w:rsidR="00C14D46">
        <w:rPr>
          <w:lang w:eastAsia="ar-SA"/>
        </w:rPr>
        <w:t>Powód wraz z pozwem złożył wniosek o zwolnienie od kosztów sądowych. Postanowieniem z dnia</w:t>
      </w:r>
      <w:r>
        <w:rPr>
          <w:lang w:eastAsia="ar-SA"/>
        </w:rPr>
        <w:t xml:space="preserve"> 15 października 2024</w:t>
      </w:r>
      <w:r w:rsidR="00C14D46">
        <w:rPr>
          <w:lang w:eastAsia="ar-SA"/>
        </w:rPr>
        <w:t xml:space="preserve"> r., powód został w całości zwolniony od kosztów sądowych, a następnie doszło do doręczenia odpisu pozwu pozwanemu i wyznaczenia terminu r</w:t>
      </w:r>
      <w:r>
        <w:rPr>
          <w:lang w:eastAsia="ar-SA"/>
        </w:rPr>
        <w:t>ozprawy na dzień 15 grudnia 2024</w:t>
      </w:r>
      <w:r w:rsidR="00C14D46">
        <w:rPr>
          <w:lang w:eastAsia="ar-SA"/>
        </w:rPr>
        <w:t xml:space="preserve"> roku. Podczas tej rozprawy wydane zostało postanowienie o cofnięciu powodowi zwolnienia od kosztów sądowych. Po uprawomocnieniu się tego postanowienia, powód został wezwany do uiszczenia opłaty od pozwu w terminie tygodniowym pod rygorem zwrotu pozwu. Czy wezwanie takiej treści było zasadne?</w:t>
      </w:r>
    </w:p>
    <w:p w:rsidR="00C14D46" w:rsidRDefault="00C14D46" w:rsidP="00C14D46">
      <w:pPr>
        <w:pStyle w:val="Standard"/>
        <w:jc w:val="both"/>
        <w:rPr>
          <w:lang w:eastAsia="ar-SA"/>
        </w:rPr>
      </w:pPr>
    </w:p>
    <w:p w:rsidR="00C14D46" w:rsidRDefault="00C14D46" w:rsidP="00C14D46">
      <w:pPr>
        <w:pStyle w:val="Standard"/>
        <w:tabs>
          <w:tab w:val="left" w:pos="4860"/>
        </w:tabs>
        <w:jc w:val="both"/>
        <w:rPr>
          <w:b/>
          <w:bCs/>
          <w:lang w:val="de-DE" w:eastAsia="ar-SA"/>
        </w:rPr>
      </w:pPr>
    </w:p>
    <w:p w:rsidR="008361E7" w:rsidRDefault="008361E7" w:rsidP="00C14D46">
      <w:pPr>
        <w:pStyle w:val="Standard"/>
        <w:tabs>
          <w:tab w:val="left" w:pos="4860"/>
        </w:tabs>
        <w:jc w:val="both"/>
        <w:rPr>
          <w:b/>
          <w:bCs/>
          <w:lang w:val="de-DE" w:eastAsia="ar-SA"/>
        </w:rPr>
      </w:pPr>
    </w:p>
    <w:p w:rsidR="00C14D46" w:rsidRDefault="00B8262D" w:rsidP="00C14D46">
      <w:pPr>
        <w:pStyle w:val="Standard"/>
        <w:jc w:val="both"/>
        <w:rPr>
          <w:lang w:eastAsia="ar-SA"/>
        </w:rPr>
      </w:pPr>
      <w:r>
        <w:rPr>
          <w:lang w:eastAsia="ar-SA"/>
        </w:rPr>
        <w:t>3</w:t>
      </w:r>
      <w:r w:rsidR="00C14D46">
        <w:rPr>
          <w:lang w:eastAsia="ar-SA"/>
        </w:rPr>
        <w:t>. Adwokat reprezentujący powoda, złożył do sądu pozew o zapłatę od którego nie uiszczono opłaty stosunkowej. Za</w:t>
      </w:r>
      <w:r>
        <w:rPr>
          <w:lang w:eastAsia="ar-SA"/>
        </w:rPr>
        <w:t>rządzeniem z dnia 4 czerwca 2024</w:t>
      </w:r>
      <w:r w:rsidR="00C14D46">
        <w:rPr>
          <w:lang w:eastAsia="ar-SA"/>
        </w:rPr>
        <w:t xml:space="preserve"> r., pełnomocnik powoda został wezwany do uiszczenia opłaty w terminie tygodniowym pod rygorem zwrotu pozwu. Zarządzenie sądu zostało przez pełnomocnika odebrane w dniu 14 czerwca, a następnego dnia uiścił on brakującą opłatę. Po uzupełnienie tego braku, sprawie nadano dalszy bieg, uznając za datę skutecznego </w:t>
      </w:r>
      <w:r>
        <w:rPr>
          <w:lang w:eastAsia="ar-SA"/>
        </w:rPr>
        <w:t>wniesienia pozwu 15 czerwca 2024</w:t>
      </w:r>
      <w:r w:rsidR="00C14D46">
        <w:rPr>
          <w:lang w:eastAsia="ar-SA"/>
        </w:rPr>
        <w:t xml:space="preserve"> roku. Czy w opisywanej sprawie doszło do uchybień?</w:t>
      </w:r>
    </w:p>
    <w:p w:rsidR="00C14D46" w:rsidRDefault="00C14D46" w:rsidP="00C14D46">
      <w:pPr>
        <w:pStyle w:val="Standard"/>
        <w:jc w:val="both"/>
        <w:rPr>
          <w:lang w:eastAsia="ar-SA"/>
        </w:rPr>
      </w:pPr>
    </w:p>
    <w:p w:rsidR="008361E7" w:rsidRDefault="008361E7" w:rsidP="00C14D46">
      <w:pPr>
        <w:pStyle w:val="Standard"/>
        <w:jc w:val="both"/>
        <w:rPr>
          <w:lang w:eastAsia="ar-SA"/>
        </w:rPr>
      </w:pPr>
    </w:p>
    <w:p w:rsidR="008361E7" w:rsidRDefault="008361E7" w:rsidP="00C14D46">
      <w:pPr>
        <w:pStyle w:val="Standard"/>
        <w:jc w:val="both"/>
        <w:rPr>
          <w:lang w:eastAsia="ar-SA"/>
        </w:rPr>
      </w:pPr>
    </w:p>
    <w:p w:rsidR="00C14D46" w:rsidRDefault="00C14D46" w:rsidP="00C14D46">
      <w:pPr>
        <w:pStyle w:val="Standard"/>
        <w:jc w:val="both"/>
        <w:rPr>
          <w:b/>
          <w:bCs/>
          <w:i/>
          <w:iCs/>
        </w:rPr>
      </w:pPr>
    </w:p>
    <w:p w:rsidR="00C14D46" w:rsidRPr="009C5471" w:rsidRDefault="00B8262D" w:rsidP="009C5471">
      <w:pPr>
        <w:pStyle w:val="Standard"/>
        <w:jc w:val="both"/>
      </w:pPr>
      <w:r>
        <w:t>4</w:t>
      </w:r>
      <w:r w:rsidR="00C14D46">
        <w:t xml:space="preserve">. Przewodniczący wezwał powódkę Krystynę J, do uiszczenia opłaty w wysokości l000 zł od wniesionego przez nią pozwu. Zarządzenie to zostało powódce doręczone l czerwca. W dniu 3 czerwca powódka wniosła o przedłużenie jej tego terminu do dnia 10 czerwca argumentując, że 9 czerwca powinna otrzymać wypłatę emerytury, natomiast obecnie nie dysponuje żadnymi środkami finansowymi na uiszczenie wpisu. </w:t>
      </w:r>
      <w:r w:rsidR="00C14D46">
        <w:rPr>
          <w:iCs/>
        </w:rPr>
        <w:t>Czy w opisanej sytuacji przedłużenie terminu jest dopuszczalne?</w:t>
      </w:r>
    </w:p>
    <w:p w:rsidR="00C14D46" w:rsidRPr="009C5471" w:rsidRDefault="00C14D46" w:rsidP="00C14D46">
      <w:pPr>
        <w:pStyle w:val="Standard"/>
        <w:jc w:val="both"/>
        <w:rPr>
          <w:rFonts w:ascii="Tahoma" w:hAnsi="Tahoma" w:cs="Tahoma"/>
          <w:b/>
          <w:bCs/>
          <w:color w:val="000000"/>
          <w:sz w:val="20"/>
          <w:szCs w:val="20"/>
        </w:rPr>
      </w:pPr>
    </w:p>
    <w:p w:rsidR="00C14D46" w:rsidRDefault="00C14D46" w:rsidP="00C14D46">
      <w:pPr>
        <w:pStyle w:val="Standard"/>
        <w:jc w:val="both"/>
        <w:rPr>
          <w:rFonts w:ascii="Tahoma" w:hAnsi="Tahoma" w:cs="Tahoma"/>
          <w:b/>
          <w:bCs/>
          <w:color w:val="000000"/>
          <w:sz w:val="20"/>
          <w:szCs w:val="20"/>
        </w:rPr>
      </w:pPr>
    </w:p>
    <w:p w:rsidR="00C14D46" w:rsidRDefault="00C14D46" w:rsidP="00C14D46">
      <w:pPr>
        <w:pStyle w:val="Standard"/>
        <w:jc w:val="both"/>
        <w:rPr>
          <w:rFonts w:ascii="Tahoma" w:hAnsi="Tahoma" w:cs="Tahoma"/>
          <w:b/>
          <w:bCs/>
          <w:color w:val="000000"/>
          <w:sz w:val="20"/>
          <w:szCs w:val="20"/>
        </w:rPr>
      </w:pPr>
    </w:p>
    <w:p w:rsidR="00C14D46" w:rsidRDefault="00C14D46" w:rsidP="00C14D46">
      <w:pPr>
        <w:pStyle w:val="Standard"/>
        <w:jc w:val="both"/>
        <w:rPr>
          <w:rFonts w:ascii="Tahoma" w:hAnsi="Tahoma" w:cs="Tahoma"/>
          <w:b/>
          <w:bCs/>
          <w:color w:val="000000"/>
          <w:sz w:val="20"/>
          <w:szCs w:val="20"/>
        </w:rPr>
      </w:pPr>
    </w:p>
    <w:p w:rsidR="00C14D46" w:rsidRDefault="00C14D46" w:rsidP="00C14D46">
      <w:pPr>
        <w:pStyle w:val="Standard"/>
        <w:jc w:val="both"/>
        <w:rPr>
          <w:iCs/>
        </w:rPr>
      </w:pPr>
    </w:p>
    <w:p w:rsidR="00C14D46" w:rsidRDefault="00B8262D" w:rsidP="00C14D46">
      <w:pPr>
        <w:pStyle w:val="Standard"/>
        <w:jc w:val="both"/>
      </w:pPr>
      <w:r>
        <w:t>5</w:t>
      </w:r>
      <w:r w:rsidR="00C14D46">
        <w:t>. Powód Stefan O jest reprezentowany w sprawie toczącej się przez Sądem Rejonowym w K. przez trzech adwokatów - pełnomocników z wyboru. Po ogłoszeniu wyroku oddalającego powództwo w tej sprawie w dniu 10 lipca, na którym to ogłoszeniu nie było żadnego z pełnomocników powoda, a tylko on sam, powód w tym samym dniu złożył w sekretariacie Wydziału I Cywilnego tego Sądu wniosek o doręczenie odpisu wyroku z uzasadnieniem. Odpis wyroku został przesłany do kancelarii adwokata Jerzego O., jednego z pełnomocników powoda i doręczony w dniu 10 sierpnia. W apelacji wniesionej w dniu 30 sierpnia przez samego powoda wskazał on na nieskuteczność dokonanego doręczenia. Podniósł, że skoro wniosek o sporządzenie uzasadniania powód podpisał i złożył osobiście, to powinien on być doręczony właśnie jemu a nie pełnomocnikowi. Powód podniósł również, adwokat Jerzy O. przebywał wówczas na urlopie i dopiero po powrocie, tj. 20 sierpnia poinformował powoda o przesyłce. Nadto był to trzeci, najpóźniej ustanowiony pełnomocnik powoda. Skoro Sąd chciał doręczyć odpis wyroku pełnomocnikowi - winien to uczynić adwokatowi Adamowi S. (najwcześniej ustanowionemu, tj. w dacie wytoczenia powództwa), Nadto wskazał, ze w dniu 16 sierpnia wypowiedział pełnomocnictwo adwokatowi Jerzemu O.</w:t>
      </w:r>
    </w:p>
    <w:p w:rsidR="00C14D46" w:rsidRDefault="00C14D46" w:rsidP="00C14D46">
      <w:pPr>
        <w:pStyle w:val="Standard"/>
        <w:jc w:val="both"/>
      </w:pPr>
      <w:r>
        <w:t>Czy doręczenie odpisu wyroku z uzasadnieniem dokonane na rzecz adwokata Jerzego O., uznać należy za skuteczne?</w:t>
      </w:r>
    </w:p>
    <w:p w:rsidR="00C14D46" w:rsidRDefault="00C14D46" w:rsidP="00C14D46">
      <w:pPr>
        <w:pStyle w:val="Standard"/>
        <w:jc w:val="both"/>
        <w:rPr>
          <w:lang w:val="de-DE"/>
        </w:rPr>
      </w:pPr>
    </w:p>
    <w:p w:rsidR="00C14D46" w:rsidRDefault="00C14D46" w:rsidP="00C14D46">
      <w:pPr>
        <w:pStyle w:val="Standard"/>
        <w:jc w:val="both"/>
        <w:rPr>
          <w:lang w:eastAsia="ar-SA"/>
        </w:rPr>
      </w:pPr>
    </w:p>
    <w:p w:rsidR="00C14D46" w:rsidRDefault="00C14D46" w:rsidP="00C14D46">
      <w:pPr>
        <w:pStyle w:val="Standard"/>
        <w:jc w:val="both"/>
        <w:rPr>
          <w:lang w:eastAsia="ar-SA"/>
        </w:rPr>
      </w:pPr>
    </w:p>
    <w:p w:rsidR="00C14D46" w:rsidRDefault="00B8262D" w:rsidP="00C14D46">
      <w:pPr>
        <w:pStyle w:val="Standard"/>
        <w:jc w:val="both"/>
      </w:pPr>
      <w:r>
        <w:rPr>
          <w:lang w:eastAsia="ar-SA"/>
        </w:rPr>
        <w:t>6</w:t>
      </w:r>
      <w:r w:rsidR="00C14D46">
        <w:rPr>
          <w:lang w:eastAsia="ar-SA"/>
        </w:rPr>
        <w:t xml:space="preserve">. Olga P. wniosła pozew o zapłatę przeciwko swojemu mężowi Władysławowi P., wspólnie z nią zamieszkującemu. </w:t>
      </w:r>
      <w:r w:rsidR="00C14D46">
        <w:t>Sąd wydał nakaz zapłaty w postępowaniu upominawczym i zarządził doręczeniu pozwanemu odpisu pozwu wraz z nakazem zapłaty i pouczeniem o możliwości wniesienia sprzeciwu.</w:t>
      </w:r>
      <w:r w:rsidR="00C14D46">
        <w:rPr>
          <w:lang w:eastAsia="ar-SA"/>
        </w:rPr>
        <w:t xml:space="preserve">  Nakaz zapłaty wraz z pouczeniem oraz odpis pozwu, wysłany przez Sąd dla Władysława P., odebrała od listonosza powódka Olga O., nie przekazując go pozwanemu. Po dwóch miesiącach pozwany złożył sprzeciw od nakazu zapłaty, wraz z wnioskiem o przywrócenie terminu do jego wniesienia. Podnosił przy tym, że niedochowanie terminu do wniesienia sprzeciwu nastąpiło bez jego winy, albowiem pozwana nie przekazała mu nakazu zapłaty ani odpisu pozwu, a o istnieniu tego orzeczenia dowiedział się dopiero z prowadzonej przeciwko niemu egzekucji komorniczej.</w:t>
      </w:r>
    </w:p>
    <w:p w:rsidR="00C14D46" w:rsidRDefault="00C14D46" w:rsidP="00C14D46">
      <w:pPr>
        <w:pStyle w:val="Standard"/>
        <w:jc w:val="both"/>
        <w:rPr>
          <w:lang w:eastAsia="ar-SA"/>
        </w:rPr>
      </w:pPr>
    </w:p>
    <w:p w:rsidR="00C14D46" w:rsidRDefault="00C14D46" w:rsidP="00C14D46">
      <w:pPr>
        <w:pStyle w:val="Standard"/>
        <w:jc w:val="both"/>
        <w:rPr>
          <w:lang w:eastAsia="ar-SA"/>
        </w:rPr>
      </w:pPr>
    </w:p>
    <w:p w:rsidR="00C14D46" w:rsidRDefault="00B8262D" w:rsidP="00C14D46">
      <w:pPr>
        <w:pStyle w:val="Standard"/>
        <w:jc w:val="both"/>
        <w:rPr>
          <w:lang w:eastAsia="ar-SA"/>
        </w:rPr>
      </w:pPr>
      <w:r>
        <w:rPr>
          <w:lang w:eastAsia="ar-SA"/>
        </w:rPr>
        <w:t>7</w:t>
      </w:r>
      <w:r w:rsidR="00C14D46">
        <w:rPr>
          <w:lang w:eastAsia="ar-SA"/>
        </w:rPr>
        <w:t>. W kwietniu 2022 r., na podstawie pozwu wniesionego przeciwko Janinie O., Sąd wydał  nakaz zapłaty w postępowaniu upominawczym, który wraz z odpisem pozwu i pouczeniem o możliwości wniesienia sprzeciwu przesłał pozwanej na adres wskazany w pozwie. Korespondencja powróciła do Sądu dnia 5 maja 2022 r.  z adnotacją o dwukrotnym awizowaniu i niepodjęciu w terminie. Sąd uznał korespondencję dla pozwanej za prawidłowo doręczoną na podstawie art. 139 par. 1 k.p.c. i stwierdził prawomocność nakazu zapłaty. W marcu 2023 r., pozwana Janina O. złożyła sprzeciw od nakazu zapłaty wraz z wnioskiem o przywrócenie terminu do jego wniesienia . W uzasadnieniu wskazała, że korespondencja zawierająca nakaz zapłaty  została wysłana w kwietniu 2022 r., na adres pod którym pozwana nie zamieszkuje już od 2015 roku. Czy wniosek o przywrócenie terminu jest zasadny? Czy czynności podjęte w sprawie przez Sąd były prawidłowe?</w:t>
      </w:r>
    </w:p>
    <w:p w:rsidR="00C14D46" w:rsidRDefault="00C14D46" w:rsidP="00C14D46">
      <w:pPr>
        <w:pStyle w:val="Standard"/>
        <w:jc w:val="both"/>
        <w:rPr>
          <w:b/>
          <w:bCs/>
          <w:lang w:eastAsia="ar-SA"/>
        </w:rPr>
      </w:pPr>
    </w:p>
    <w:p w:rsidR="00C14D46" w:rsidRDefault="00B8262D" w:rsidP="00C14D46">
      <w:pPr>
        <w:pStyle w:val="Standard"/>
        <w:jc w:val="both"/>
        <w:rPr>
          <w:lang w:eastAsia="ar-SA"/>
        </w:rPr>
      </w:pPr>
      <w:r>
        <w:rPr>
          <w:lang w:eastAsia="ar-SA"/>
        </w:rPr>
        <w:t>8</w:t>
      </w:r>
      <w:r w:rsidR="00C14D46">
        <w:rPr>
          <w:lang w:eastAsia="ar-SA"/>
        </w:rPr>
        <w:t>. Na rozprawę wyznaczoną w sprawie o zapłatę, stawił się tylko pozwany. Powód nie stawił się pomimo prawidłowego zawiadomienia. Czy w tej sytuacji zasadnym będzie wydanie postanowienia o zawieszeniu postępowania?</w:t>
      </w:r>
    </w:p>
    <w:p w:rsidR="00C14D46" w:rsidRDefault="00C14D46" w:rsidP="00C14D46">
      <w:pPr>
        <w:pStyle w:val="Standard"/>
        <w:jc w:val="both"/>
        <w:rPr>
          <w:lang w:eastAsia="ar-SA"/>
        </w:rPr>
      </w:pPr>
    </w:p>
    <w:p w:rsidR="00C14D46" w:rsidRDefault="00C14D46" w:rsidP="00C14D46">
      <w:pPr>
        <w:pStyle w:val="Standard"/>
        <w:rPr>
          <w:lang w:eastAsia="pl-PL"/>
        </w:rPr>
      </w:pPr>
    </w:p>
    <w:p w:rsidR="00C14D46" w:rsidRDefault="00C14D46" w:rsidP="00C14D46">
      <w:pPr>
        <w:pStyle w:val="Standard"/>
        <w:rPr>
          <w:lang w:eastAsia="pl-PL"/>
        </w:rPr>
      </w:pPr>
    </w:p>
    <w:p w:rsidR="00C14D46" w:rsidRDefault="00B8262D" w:rsidP="00C14D46">
      <w:pPr>
        <w:pStyle w:val="Standard"/>
        <w:jc w:val="both"/>
        <w:rPr>
          <w:lang w:eastAsia="ar-SA"/>
        </w:rPr>
      </w:pPr>
      <w:r>
        <w:rPr>
          <w:lang w:eastAsia="ar-SA"/>
        </w:rPr>
        <w:t>9</w:t>
      </w:r>
      <w:r w:rsidR="00C14D46">
        <w:rPr>
          <w:lang w:eastAsia="ar-SA"/>
        </w:rPr>
        <w:t>. W toku postępowania przed sądem pierwszej instancji, zmarł adwokat Piotr M. reprezentujący powoda. W związku z tym zdarzeniem, powód wniósł o zawieszenie postępowania, motywując to koniecznością ustanowienia dla siebie nowego pełnomocnika. Pozwany oświadczył na rozprawie, że popiera wniosek o zawieszenie postępowania. Rozpoznając złożony w ten sposób wniosek, sąd na posiedzeniu niejawnym wydał postanowienie w przedmiocie odmowy zawieszenia postępowania. Postanowienie to zaskarżyły w drodze zażalenia obie strony  - powód powoływał się przy tym na naruszenie przepisu art. 175 [1] k.p.c., a pozwany naruszenie art. 178 k.p.c., wobec nie wydania postanowienia o zawieszeniu postępowania pomimo zgodnego wniosku obu stron. Czy zarzuty naruszenia powyższych przepisów były w tej sytuacji zasadne? Czy złożone zażalenie jest dopuszczalne?</w:t>
      </w:r>
    </w:p>
    <w:p w:rsidR="00C14D46" w:rsidRDefault="00C14D46" w:rsidP="00C14D46">
      <w:pPr>
        <w:pStyle w:val="Textbody"/>
        <w:rPr>
          <w:b/>
          <w:bCs/>
          <w:lang w:eastAsia="ar-SA"/>
        </w:rPr>
      </w:pPr>
    </w:p>
    <w:p w:rsidR="00C14D46" w:rsidRDefault="00C14D46" w:rsidP="00C14D46">
      <w:pPr>
        <w:pStyle w:val="Textbody"/>
        <w:jc w:val="both"/>
        <w:rPr>
          <w:b/>
          <w:bCs/>
          <w:lang w:eastAsia="ar-SA"/>
        </w:rPr>
      </w:pPr>
    </w:p>
    <w:p w:rsidR="00C14D46" w:rsidRPr="008361E7" w:rsidRDefault="00B8262D" w:rsidP="00C14D46">
      <w:pPr>
        <w:pStyle w:val="Tekstpodstawowy2"/>
        <w:rPr>
          <w:iCs w:val="0"/>
        </w:rPr>
      </w:pPr>
      <w:r>
        <w:rPr>
          <w:bCs/>
          <w:iCs w:val="0"/>
          <w:lang w:eastAsia="ar-SA"/>
        </w:rPr>
        <w:t>10</w:t>
      </w:r>
      <w:r w:rsidR="00C14D46">
        <w:rPr>
          <w:bCs/>
          <w:iCs w:val="0"/>
          <w:lang w:eastAsia="ar-SA"/>
        </w:rPr>
        <w:t>.</w:t>
      </w:r>
      <w:r>
        <w:rPr>
          <w:bCs/>
          <w:iCs w:val="0"/>
          <w:lang w:eastAsia="ar-SA"/>
        </w:rPr>
        <w:t xml:space="preserve"> </w:t>
      </w:r>
      <w:r w:rsidR="00C14D46">
        <w:rPr>
          <w:iCs w:val="0"/>
        </w:rPr>
        <w:t>Na wyznaczony przez Sąd termin rozprawy stawił się pełnomocnik powoda, a pełnomocnik pozwanego nie stawił się i drogą pocztową złożył do Sądu wniosek o odroczenie rozprawy, ze względu na chorobę uniemożliwiającą mu stawiennictwo w Sądzie. Do pisma zostało dołączenia zaświadczenie wystawione przez lekarza rodzinnego. Po odczytaniu wniosku pełnomocnika pozwanego, pełnomocnik powoda sprzeciwił się odroczeniu rozprawy, zarzucając że załączone zwolnienie lekarskie, nie zostało wystawione przez lekarza sądowego. Sąd oddalił wniosek o odroczenie rozprawy, a następnie zamknął rozprawę i wydał wyrok. W apelacji pełnomocnik pozwanego, zarzucił sądowi naruszenia prawa strony do należytej reprezentacji oraz art. 214 § 1 k.p.c., wobec tego że Sąd nie odroczył rozprawy, pomimo tego że wiedział, iż niestawiennictwo pełnomocnika wywołane było przeszkodą której nie można przezwyciężyć (tj. chorobą). Czy działania podjęte przez Sąd pier</w:t>
      </w:r>
      <w:r w:rsidR="008361E7">
        <w:rPr>
          <w:iCs w:val="0"/>
        </w:rPr>
        <w:t>wszej instancji były prawidłowe?</w:t>
      </w:r>
    </w:p>
    <w:p w:rsidR="009C5471" w:rsidRDefault="009C5471" w:rsidP="00C14D46">
      <w:pPr>
        <w:pStyle w:val="Tekstpodstawowy2"/>
        <w:rPr>
          <w:b/>
          <w:bCs/>
          <w:iCs w:val="0"/>
          <w:lang w:val="de-DE"/>
        </w:rPr>
      </w:pPr>
    </w:p>
    <w:p w:rsidR="009C5471" w:rsidRDefault="009C5471" w:rsidP="00C14D46">
      <w:pPr>
        <w:pStyle w:val="Tekstpodstawowy2"/>
        <w:rPr>
          <w:b/>
          <w:bCs/>
          <w:iCs w:val="0"/>
          <w:lang w:val="de-DE"/>
        </w:rPr>
      </w:pPr>
    </w:p>
    <w:p w:rsidR="009C5471" w:rsidRDefault="009C5471" w:rsidP="00C14D46">
      <w:pPr>
        <w:pStyle w:val="Tekstpodstawowy2"/>
        <w:rPr>
          <w:b/>
          <w:bCs/>
          <w:iCs w:val="0"/>
          <w:lang w:val="de-DE"/>
        </w:rPr>
      </w:pPr>
    </w:p>
    <w:p w:rsidR="009C5471" w:rsidRDefault="009C5471" w:rsidP="00C14D46">
      <w:pPr>
        <w:pStyle w:val="Tekstpodstawowy2"/>
        <w:rPr>
          <w:b/>
          <w:bCs/>
          <w:iCs w:val="0"/>
          <w:lang w:val="de-DE"/>
        </w:rPr>
      </w:pPr>
    </w:p>
    <w:p w:rsidR="009C5471" w:rsidRDefault="009C5471" w:rsidP="00C14D46">
      <w:pPr>
        <w:pStyle w:val="Tekstpodstawowy2"/>
        <w:rPr>
          <w:b/>
          <w:bCs/>
          <w:iCs w:val="0"/>
          <w:lang w:val="de-DE"/>
        </w:rPr>
      </w:pPr>
    </w:p>
    <w:p w:rsidR="009C5471" w:rsidRDefault="009C5471" w:rsidP="00C14D46">
      <w:pPr>
        <w:pStyle w:val="Tekstpodstawowy2"/>
        <w:rPr>
          <w:b/>
          <w:bCs/>
          <w:iCs w:val="0"/>
          <w:lang w:val="de-DE"/>
        </w:rPr>
      </w:pPr>
    </w:p>
    <w:p w:rsidR="00C14D46" w:rsidRDefault="00C14D46" w:rsidP="00C14D46">
      <w:pPr>
        <w:pStyle w:val="Tekstpodstawowy2"/>
        <w:rPr>
          <w:b/>
          <w:bCs/>
          <w:iCs w:val="0"/>
          <w:lang w:val="de-DE"/>
        </w:rPr>
      </w:pPr>
    </w:p>
    <w:p w:rsidR="00C14D46" w:rsidRDefault="00B8262D" w:rsidP="00C14D46">
      <w:pPr>
        <w:pStyle w:val="Textbody"/>
        <w:spacing w:after="140"/>
        <w:jc w:val="both"/>
      </w:pPr>
      <w:r>
        <w:t>11</w:t>
      </w:r>
      <w:r w:rsidR="00C14D46">
        <w:t>.</w:t>
      </w:r>
      <w:r>
        <w:t xml:space="preserve"> </w:t>
      </w:r>
      <w:r w:rsidR="00C14D46">
        <w:t>W trakcie procesu na wniosek powoda został przeprowadzony dowód z opinii biegłego sądowego. Opinia ta została w całości zakwestionowana przez pozwanego, co wywołało skutek w postaci dopuszczenia - na wniosek pozwanego — dowodu z opinii innego biegłego. Ponieważ ta druga opinia wywołała sprzeciw obu stron, sąd skonfrontował biegłych. Po przeprowadzonej konfrontacji, pozostali oni obaj przy stanowiskach wyrażonych w swoich opiniach pisemnych. W tej sytuacji wobec braku dalszych wniosków dowodowych sąd rozstrzygając sprawę oparł swoje ustalenia na złożonej przez pozwanego ekspertyzie wykonanej na jego zlecenie przez Politechnikę Krakowską. W uzasadnieniu orzeczenia Sąd podał szereg przekonujących argumentów przemawiających za dyskwalifikacją opinii obu biegłych sądowych oraz szeroko uzasadnił przyczyny przemawiające za trafnością i rzetelnością opinii Politechniki Krakowskiej.</w:t>
      </w:r>
    </w:p>
    <w:p w:rsidR="00C14D46" w:rsidRDefault="00C14D46" w:rsidP="00C14D46">
      <w:pPr>
        <w:pStyle w:val="Textbody"/>
        <w:ind w:left="720"/>
        <w:jc w:val="both"/>
      </w:pPr>
      <w:r>
        <w:rPr>
          <w:lang w:eastAsia="ar-SA"/>
        </w:rPr>
        <w:t>Proszę ocenić czy postępowanie dowodowe w tej sprawie zostało przeprowadzone</w:t>
      </w:r>
      <w:r>
        <w:rPr>
          <w:lang w:eastAsia="ar-SA"/>
        </w:rPr>
        <w:br/>
      </w:r>
      <w:r w:rsidRPr="007F0CDF">
        <w:rPr>
          <w:spacing w:val="-2"/>
          <w:lang w:eastAsia="ar-SA"/>
        </w:rPr>
        <w:t>prawidłowo.</w:t>
      </w:r>
    </w:p>
    <w:p w:rsidR="00C14D46" w:rsidRDefault="00C14D46" w:rsidP="00C14D46">
      <w:pPr>
        <w:pStyle w:val="Tekstpodstawowy2"/>
        <w:rPr>
          <w:iCs w:val="0"/>
          <w:spacing w:val="-2"/>
          <w:lang w:eastAsia="ar-SA"/>
        </w:rPr>
      </w:pPr>
    </w:p>
    <w:p w:rsidR="00C14D46" w:rsidRDefault="00C14D46" w:rsidP="00C14D46">
      <w:pPr>
        <w:pStyle w:val="Tekstpodstawowy2"/>
        <w:rPr>
          <w:iCs w:val="0"/>
        </w:rPr>
      </w:pPr>
    </w:p>
    <w:p w:rsidR="00C14D46" w:rsidRDefault="00B8262D" w:rsidP="00C14D46">
      <w:pPr>
        <w:pStyle w:val="Tekstpodstawowy2"/>
        <w:rPr>
          <w:iCs w:val="0"/>
        </w:rPr>
      </w:pPr>
      <w:r>
        <w:rPr>
          <w:iCs w:val="0"/>
        </w:rPr>
        <w:t>12</w:t>
      </w:r>
      <w:r w:rsidR="00C14D46">
        <w:rPr>
          <w:iCs w:val="0"/>
        </w:rPr>
        <w:t>.</w:t>
      </w:r>
      <w:r>
        <w:rPr>
          <w:iCs w:val="0"/>
        </w:rPr>
        <w:t xml:space="preserve"> </w:t>
      </w:r>
      <w:r w:rsidR="00C14D46">
        <w:rPr>
          <w:iCs w:val="0"/>
        </w:rPr>
        <w:t>W sprawie o ustanowienie dr</w:t>
      </w:r>
      <w:r>
        <w:rPr>
          <w:iCs w:val="0"/>
        </w:rPr>
        <w:t>ogi koniecznej, uczestnik Jan Kowalski</w:t>
      </w:r>
      <w:r w:rsidR="00C14D46">
        <w:rPr>
          <w:iCs w:val="0"/>
        </w:rPr>
        <w:t>, wniósł o przeprowadzenie dowodu z oględzin nieruchomości, na okoliczność wykazania, że ze względu na warunki terenowe, nie jest możliwe ustanowienie służebności proponowanym szlakiem. Sąd oddalił ten wniosek dowodowy argumentując, że z załączonych do wniosku wyrysów map ewidencyjnych oraz przeprowadzonego w sprawie dowodu z opinii biegłego wynika jednoznacznie, że ustanowienie szlaku jest możliwe a przeprowadzenie w sprawie dowodu z oględzin nieruchomości prowadziłoby jedynie do przewłoki postępowania.  Postanowienie to zostało przez uczestnika zaskarżone w drodze zażalenia, w którym zarzucił naruszenie art. 227 k.p.c., przez pominięcie dowodu zgłoszonego na okoliczność istotną dla rozstrzygnięcia sprawy. Czy zażalenie jest w tej sytuacji dopuszczalne? Czy Sąd prawidłowo przeprowadził postępowanie dowodowe w sprawie?</w:t>
      </w:r>
    </w:p>
    <w:p w:rsidR="00C14D46" w:rsidRDefault="00C14D46" w:rsidP="00C14D46">
      <w:pPr>
        <w:pStyle w:val="Tekstpodstawowy2"/>
        <w:ind w:left="720"/>
        <w:rPr>
          <w:iCs w:val="0"/>
        </w:rPr>
      </w:pPr>
    </w:p>
    <w:p w:rsidR="00C14D46" w:rsidRDefault="00C14D46" w:rsidP="00C14D46">
      <w:pPr>
        <w:pStyle w:val="Standard"/>
        <w:jc w:val="both"/>
        <w:rPr>
          <w:b/>
          <w:bCs/>
          <w:lang w:val="de-DE"/>
        </w:rPr>
      </w:pPr>
    </w:p>
    <w:p w:rsidR="00C14D46" w:rsidRDefault="00A74795" w:rsidP="00C14D46">
      <w:pPr>
        <w:pStyle w:val="Standard"/>
        <w:jc w:val="both"/>
      </w:pPr>
      <w:r>
        <w:t>13</w:t>
      </w:r>
      <w:r w:rsidR="00C14D46">
        <w:t>.</w:t>
      </w:r>
      <w:r w:rsidR="00B8262D">
        <w:t xml:space="preserve"> </w:t>
      </w:r>
      <w:r w:rsidR="00C14D46">
        <w:t>W sprawie o wydanie ruchomości, powód przedstawił jako dowód w sprawie pisemną umowę sprzedaży rzeczy. Pozwany zakwestionował ten dowód, zarzucając że nigdy umowy takiej nie zawierał a jego podpis na tym dokumencie został sfałszowany. Poza wyżej wymienionym dowodem z dokumentu, strony nie zgłosiły innych wniosków dowodowych. Po przeprowadzeniu postępowania dowodowego i zamknięciu rozprawy, Sąd wydał wyrok uwzględniający powództwo. W uzasadnieniu tego rozstrzygnięcia, Sąd wskazał, że pomiędzy stronami doszło do zawarcia skutecznej umowy sprzedaży, co zostało wykazane przedłożoną przez powoda pisemną umową. W apelacji od tego wyroku pozwany, zarzucił Sądowi naruszenie art. 6 k.c., argumentując że powód nie wykazał, że przedłożona umowa i podpis pozwanego są autentyczne. Oceń zasadność przedstawionej przez pozwanego argumentacji.</w:t>
      </w:r>
    </w:p>
    <w:p w:rsidR="00C14D46" w:rsidRDefault="00C14D46" w:rsidP="00C14D46">
      <w:pPr>
        <w:pStyle w:val="Standard"/>
        <w:jc w:val="both"/>
        <w:rPr>
          <w:lang w:eastAsia="ar-SA"/>
        </w:rPr>
      </w:pPr>
    </w:p>
    <w:p w:rsidR="00C14D46" w:rsidRDefault="00C14D46" w:rsidP="00C14D46">
      <w:pPr>
        <w:pStyle w:val="Standard"/>
        <w:jc w:val="both"/>
        <w:rPr>
          <w:b/>
          <w:bCs/>
          <w:lang w:eastAsia="ar-SA"/>
        </w:rPr>
      </w:pPr>
    </w:p>
    <w:p w:rsidR="008361E7" w:rsidRDefault="008361E7" w:rsidP="00C14D46">
      <w:pPr>
        <w:pStyle w:val="Standard"/>
        <w:jc w:val="both"/>
        <w:rPr>
          <w:b/>
          <w:bCs/>
          <w:lang w:eastAsia="ar-SA"/>
        </w:rPr>
      </w:pPr>
    </w:p>
    <w:p w:rsidR="00C14D46" w:rsidRPr="00B8262D" w:rsidRDefault="00A74795" w:rsidP="00C14D46">
      <w:pPr>
        <w:pStyle w:val="Nagwek2"/>
        <w:rPr>
          <w:rFonts w:ascii="Times New Roman" w:hAnsi="Times New Roman" w:cs="Times New Roman"/>
          <w:color w:val="auto"/>
          <w:sz w:val="24"/>
          <w:szCs w:val="24"/>
        </w:rPr>
      </w:pPr>
      <w:r>
        <w:rPr>
          <w:rFonts w:ascii="Times New Roman" w:hAnsi="Times New Roman" w:cs="Times New Roman"/>
          <w:color w:val="auto"/>
          <w:sz w:val="24"/>
          <w:szCs w:val="24"/>
        </w:rPr>
        <w:t xml:space="preserve">14. </w:t>
      </w:r>
      <w:r w:rsidR="00C14D46" w:rsidRPr="00B8262D">
        <w:rPr>
          <w:rFonts w:ascii="Times New Roman" w:hAnsi="Times New Roman" w:cs="Times New Roman"/>
          <w:color w:val="auto"/>
          <w:sz w:val="24"/>
          <w:szCs w:val="24"/>
        </w:rPr>
        <w:t xml:space="preserve"> Przeprowadzając postępowanie dowodowe w sprawie z powództwa Piotra O. przeciwko Aurora spółce z o.o.,  sąd pierwszej instancji przesłuchał w charakterze świadka:</w:t>
      </w:r>
    </w:p>
    <w:p w:rsidR="00C14D46" w:rsidRPr="00B8262D" w:rsidRDefault="00C14D46" w:rsidP="00C14D46">
      <w:pPr>
        <w:pStyle w:val="Standard"/>
        <w:numPr>
          <w:ilvl w:val="1"/>
          <w:numId w:val="1"/>
        </w:numPr>
        <w:jc w:val="both"/>
        <w:rPr>
          <w:rFonts w:cs="Times New Roman"/>
        </w:rPr>
      </w:pPr>
      <w:r w:rsidRPr="00B8262D">
        <w:rPr>
          <w:rFonts w:cs="Times New Roman"/>
        </w:rPr>
        <w:t>15-letniego syna powoda,</w:t>
      </w:r>
    </w:p>
    <w:p w:rsidR="00C14D46" w:rsidRPr="00B8262D" w:rsidRDefault="00C14D46" w:rsidP="00C14D46">
      <w:pPr>
        <w:pStyle w:val="Standard"/>
        <w:numPr>
          <w:ilvl w:val="1"/>
          <w:numId w:val="1"/>
        </w:numPr>
        <w:jc w:val="both"/>
        <w:rPr>
          <w:rFonts w:cs="Times New Roman"/>
        </w:rPr>
      </w:pPr>
      <w:r w:rsidRPr="00B8262D">
        <w:rPr>
          <w:rFonts w:cs="Times New Roman"/>
        </w:rPr>
        <w:t>prezesa zarządu strony pozwanej,</w:t>
      </w:r>
    </w:p>
    <w:p w:rsidR="00C14D46" w:rsidRPr="00B8262D" w:rsidRDefault="00C14D46" w:rsidP="00C14D46">
      <w:pPr>
        <w:pStyle w:val="Standard"/>
        <w:numPr>
          <w:ilvl w:val="1"/>
          <w:numId w:val="1"/>
        </w:numPr>
        <w:jc w:val="both"/>
        <w:rPr>
          <w:rFonts w:cs="Times New Roman"/>
        </w:rPr>
      </w:pPr>
      <w:r w:rsidRPr="00B8262D">
        <w:rPr>
          <w:rFonts w:cs="Times New Roman"/>
        </w:rPr>
        <w:t>adwokata Grzegorza G., występującego w sprawie jako pełnomocnik powoda.</w:t>
      </w:r>
    </w:p>
    <w:p w:rsidR="00C14D46" w:rsidRPr="00B8262D" w:rsidRDefault="00C14D46" w:rsidP="00C14D46">
      <w:pPr>
        <w:pStyle w:val="Standard"/>
        <w:ind w:left="708"/>
        <w:jc w:val="both"/>
        <w:rPr>
          <w:rFonts w:cs="Times New Roman"/>
        </w:rPr>
      </w:pPr>
      <w:r w:rsidRPr="00B8262D">
        <w:rPr>
          <w:rFonts w:cs="Times New Roman"/>
        </w:rPr>
        <w:t>Czy przesłuchanie wyżej wymienionych osób w tym charakterze było dopuszczalne?</w:t>
      </w:r>
    </w:p>
    <w:p w:rsidR="00C14D46" w:rsidRPr="00B8262D" w:rsidRDefault="00C14D46" w:rsidP="00C14D46">
      <w:pPr>
        <w:pStyle w:val="Standard"/>
        <w:ind w:left="708"/>
        <w:rPr>
          <w:rFonts w:cs="Times New Roman"/>
          <w:b/>
          <w:bCs/>
        </w:rPr>
      </w:pPr>
    </w:p>
    <w:p w:rsidR="00C14D46" w:rsidRPr="00B8262D" w:rsidRDefault="00C14D46" w:rsidP="00C14D46">
      <w:pPr>
        <w:pStyle w:val="Standard"/>
        <w:ind w:left="708"/>
        <w:jc w:val="both"/>
        <w:rPr>
          <w:rFonts w:cs="Times New Roman"/>
          <w:b/>
          <w:bCs/>
          <w:lang w:eastAsia="ar-SA"/>
        </w:rPr>
      </w:pPr>
      <w:r w:rsidRPr="00B8262D">
        <w:rPr>
          <w:rFonts w:cs="Times New Roman"/>
          <w:b/>
          <w:bCs/>
          <w:lang w:eastAsia="ar-SA"/>
        </w:rPr>
        <w:tab/>
      </w:r>
    </w:p>
    <w:p w:rsidR="00C14D46" w:rsidRPr="00B8262D" w:rsidRDefault="00C14D46" w:rsidP="00C14D46">
      <w:pPr>
        <w:pStyle w:val="Standard"/>
        <w:ind w:left="708"/>
        <w:jc w:val="both"/>
        <w:rPr>
          <w:rFonts w:cs="Times New Roman"/>
          <w:b/>
          <w:bCs/>
          <w:lang w:eastAsia="ar-SA"/>
        </w:rPr>
      </w:pPr>
    </w:p>
    <w:p w:rsidR="00C14D46" w:rsidRPr="00B8262D" w:rsidRDefault="00A74795" w:rsidP="009C5471">
      <w:pPr>
        <w:pStyle w:val="Tekstpodstawowy3"/>
        <w:jc w:val="both"/>
        <w:rPr>
          <w:rFonts w:ascii="Times New Roman" w:hAnsi="Times New Roman" w:cs="Times New Roman"/>
          <w:sz w:val="24"/>
          <w:szCs w:val="24"/>
        </w:rPr>
      </w:pPr>
      <w:r>
        <w:rPr>
          <w:rFonts w:ascii="Times New Roman" w:hAnsi="Times New Roman" w:cs="Times New Roman"/>
          <w:sz w:val="24"/>
          <w:szCs w:val="24"/>
        </w:rPr>
        <w:t>15</w:t>
      </w:r>
      <w:r w:rsidR="00C14D46" w:rsidRPr="00B8262D">
        <w:rPr>
          <w:rFonts w:ascii="Times New Roman" w:hAnsi="Times New Roman" w:cs="Times New Roman"/>
          <w:sz w:val="24"/>
          <w:szCs w:val="24"/>
        </w:rPr>
        <w:t>. W sprawie z powództwa Bogdana O. przeciwko Stanisławowi S., Sąd wyznaczył termin rozprawy na dzień 15 l</w:t>
      </w:r>
      <w:r w:rsidR="009C5471">
        <w:rPr>
          <w:rFonts w:ascii="Times New Roman" w:hAnsi="Times New Roman" w:cs="Times New Roman"/>
          <w:sz w:val="24"/>
          <w:szCs w:val="24"/>
        </w:rPr>
        <w:t>istopada 2024</w:t>
      </w:r>
      <w:r w:rsidR="00C14D46" w:rsidRPr="00B8262D">
        <w:rPr>
          <w:rFonts w:ascii="Times New Roman" w:hAnsi="Times New Roman" w:cs="Times New Roman"/>
          <w:sz w:val="24"/>
          <w:szCs w:val="24"/>
        </w:rPr>
        <w:t xml:space="preserve"> roku. Powód Bogdan O., odbywał wówczas karę pozbawienia wolności w zakładzie karnym, w związku z czym nie mógł być obecny na rozprawie. Nie był również reprezentowany przez pełnomocnika. W pozwie wniósł o rozpoznanie sprawy pomimo swej nieobecności. Na rozprawie</w:t>
      </w:r>
      <w:r w:rsidR="009C5471">
        <w:rPr>
          <w:rFonts w:ascii="Times New Roman" w:hAnsi="Times New Roman" w:cs="Times New Roman"/>
          <w:sz w:val="24"/>
          <w:szCs w:val="24"/>
        </w:rPr>
        <w:t xml:space="preserve"> w dniu 15 listopada 2024</w:t>
      </w:r>
      <w:r w:rsidR="00C14D46" w:rsidRPr="00B8262D">
        <w:rPr>
          <w:rFonts w:ascii="Times New Roman" w:hAnsi="Times New Roman" w:cs="Times New Roman"/>
          <w:sz w:val="24"/>
          <w:szCs w:val="24"/>
        </w:rPr>
        <w:t xml:space="preserve"> r., Sąd wydał wyrok. W jakim terminie w niniejszej sprawie powód, może wnieść o sporządzenie uzasadnienia wyroku?</w:t>
      </w:r>
    </w:p>
    <w:p w:rsidR="00C14D46" w:rsidRPr="00B8262D" w:rsidRDefault="00C14D46" w:rsidP="00C14D46">
      <w:pPr>
        <w:pStyle w:val="Tekstpodstawowy3"/>
        <w:rPr>
          <w:rFonts w:ascii="Times New Roman" w:hAnsi="Times New Roman" w:cs="Times New Roman"/>
          <w:sz w:val="24"/>
          <w:szCs w:val="24"/>
        </w:rPr>
      </w:pPr>
    </w:p>
    <w:p w:rsidR="00C14D46" w:rsidRPr="00B8262D" w:rsidRDefault="00C14D46" w:rsidP="00C14D46">
      <w:pPr>
        <w:pStyle w:val="Tekstpodstawowy3"/>
        <w:rPr>
          <w:rFonts w:ascii="Times New Roman" w:hAnsi="Times New Roman" w:cs="Times New Roman"/>
          <w:sz w:val="24"/>
          <w:szCs w:val="24"/>
        </w:rPr>
      </w:pPr>
      <w:r w:rsidRPr="00B8262D">
        <w:rPr>
          <w:rFonts w:ascii="Times New Roman" w:hAnsi="Times New Roman" w:cs="Times New Roman"/>
          <w:sz w:val="24"/>
          <w:szCs w:val="24"/>
        </w:rPr>
        <w:tab/>
      </w:r>
    </w:p>
    <w:p w:rsidR="00C14D46" w:rsidRPr="00B8262D" w:rsidRDefault="009C5471" w:rsidP="00C14D46">
      <w:pPr>
        <w:pStyle w:val="Tekstpodstawowy3"/>
        <w:rPr>
          <w:rFonts w:ascii="Times New Roman" w:hAnsi="Times New Roman" w:cs="Times New Roman"/>
          <w:sz w:val="24"/>
          <w:szCs w:val="24"/>
        </w:rPr>
      </w:pPr>
      <w:r>
        <w:rPr>
          <w:rFonts w:ascii="Times New Roman" w:hAnsi="Times New Roman" w:cs="Times New Roman"/>
          <w:sz w:val="24"/>
          <w:szCs w:val="24"/>
        </w:rPr>
        <w:t>16</w:t>
      </w:r>
      <w:r w:rsidR="00C14D46" w:rsidRPr="00B8262D">
        <w:rPr>
          <w:rFonts w:ascii="Times New Roman" w:hAnsi="Times New Roman" w:cs="Times New Roman"/>
          <w:sz w:val="24"/>
          <w:szCs w:val="24"/>
        </w:rPr>
        <w:t>.</w:t>
      </w:r>
      <w:r>
        <w:rPr>
          <w:rFonts w:ascii="Times New Roman" w:hAnsi="Times New Roman" w:cs="Times New Roman"/>
          <w:sz w:val="24"/>
          <w:szCs w:val="24"/>
        </w:rPr>
        <w:t xml:space="preserve"> Dnia 3 marca 2024</w:t>
      </w:r>
      <w:r w:rsidR="00C14D46" w:rsidRPr="00B8262D">
        <w:rPr>
          <w:rFonts w:ascii="Times New Roman" w:hAnsi="Times New Roman" w:cs="Times New Roman"/>
          <w:sz w:val="24"/>
          <w:szCs w:val="24"/>
        </w:rPr>
        <w:t xml:space="preserve">  roku, Sąd wydał wyrok w którym zasądził od Zbigniewa Z. na rzecz Marka K. kwotę 1.000 złotych. Następnego dnia, powód złożył do Sądu pismo którym oświadczył, że cofa pozew w całości ze zrzeczeniem się roszczenia. Jakie czynności powinien podjąć Sąd?</w:t>
      </w:r>
    </w:p>
    <w:p w:rsidR="00C14D46" w:rsidRPr="00B8262D" w:rsidRDefault="00C14D46" w:rsidP="00C14D46">
      <w:pPr>
        <w:pStyle w:val="Tekstpodstawowy3"/>
        <w:rPr>
          <w:rFonts w:ascii="Times New Roman" w:hAnsi="Times New Roman" w:cs="Times New Roman"/>
          <w:sz w:val="24"/>
          <w:szCs w:val="24"/>
        </w:rPr>
      </w:pPr>
    </w:p>
    <w:p w:rsidR="00C14D46" w:rsidRPr="00B8262D" w:rsidRDefault="00C14D46" w:rsidP="00C14D46">
      <w:pPr>
        <w:pStyle w:val="Standard"/>
        <w:rPr>
          <w:rFonts w:cs="Times New Roman"/>
          <w:b/>
          <w:bCs/>
        </w:rPr>
      </w:pPr>
    </w:p>
    <w:p w:rsidR="00C14D46" w:rsidRPr="00B8262D" w:rsidRDefault="009C5471" w:rsidP="00C14D46">
      <w:pPr>
        <w:pStyle w:val="Standard"/>
        <w:jc w:val="both"/>
        <w:rPr>
          <w:rFonts w:cs="Times New Roman"/>
        </w:rPr>
      </w:pPr>
      <w:r>
        <w:rPr>
          <w:rFonts w:cs="Times New Roman"/>
        </w:rPr>
        <w:t>17</w:t>
      </w:r>
      <w:r w:rsidR="00C14D46" w:rsidRPr="00B8262D">
        <w:rPr>
          <w:rFonts w:cs="Times New Roman"/>
        </w:rPr>
        <w:t>.</w:t>
      </w:r>
      <w:r w:rsidR="00D74AC6">
        <w:rPr>
          <w:rFonts w:cs="Times New Roman"/>
        </w:rPr>
        <w:t xml:space="preserve"> W dniu 1 czerwca 2024</w:t>
      </w:r>
      <w:r w:rsidR="00C14D46" w:rsidRPr="00B8262D">
        <w:rPr>
          <w:rFonts w:cs="Times New Roman"/>
        </w:rPr>
        <w:t xml:space="preserve"> r. wyznaczono termin rozprawy w sprawie o zapłatę. Był to kolejny trzeci już termin posiedzenia w niniejszej sprawie. Na cztery tygodnie przed rozprawą powód wniósł do sądu pismo, w którym wskazał, że „cofa pozew bez zrzeczenia się roszczenia". Czy i jaki skutek wywoła oświadczenie powoda zawarte w tym piśmie? Jakie czynności powinny zostać podjęte w tej sprawie?</w:t>
      </w:r>
    </w:p>
    <w:p w:rsidR="00C14D46" w:rsidRPr="00B8262D" w:rsidRDefault="00C14D46" w:rsidP="00C14D46">
      <w:pPr>
        <w:pStyle w:val="Standard"/>
        <w:jc w:val="both"/>
        <w:rPr>
          <w:rFonts w:cs="Times New Roman"/>
        </w:rPr>
      </w:pPr>
    </w:p>
    <w:p w:rsidR="00C14D46" w:rsidRPr="00B8262D" w:rsidRDefault="00C14D46" w:rsidP="00C14D46">
      <w:pPr>
        <w:pStyle w:val="Standard"/>
        <w:jc w:val="both"/>
        <w:rPr>
          <w:rFonts w:cs="Times New Roman"/>
          <w:b/>
          <w:bCs/>
          <w:lang w:val="de-DE"/>
        </w:rPr>
      </w:pPr>
    </w:p>
    <w:p w:rsidR="00C14D46" w:rsidRPr="00B8262D" w:rsidRDefault="00C14D46" w:rsidP="00C14D46">
      <w:pPr>
        <w:pStyle w:val="Standard"/>
        <w:ind w:firstLine="708"/>
        <w:jc w:val="both"/>
        <w:rPr>
          <w:rFonts w:cs="Times New Roman"/>
          <w:b/>
          <w:bCs/>
          <w:lang w:val="de-DE"/>
        </w:rPr>
      </w:pPr>
    </w:p>
    <w:p w:rsidR="00C14D46" w:rsidRPr="00B8262D" w:rsidRDefault="00C14D46" w:rsidP="00C14D46">
      <w:pPr>
        <w:pStyle w:val="Standard"/>
        <w:ind w:firstLine="708"/>
        <w:jc w:val="both"/>
        <w:rPr>
          <w:rFonts w:cs="Times New Roman"/>
          <w:b/>
          <w:bCs/>
          <w:lang w:val="de-DE"/>
        </w:rPr>
      </w:pPr>
    </w:p>
    <w:p w:rsidR="00C14D46" w:rsidRPr="00B8262D" w:rsidRDefault="009C5471" w:rsidP="00C14D46">
      <w:pPr>
        <w:pStyle w:val="Tekstpodstawowy3"/>
        <w:rPr>
          <w:rFonts w:ascii="Times New Roman" w:hAnsi="Times New Roman" w:cs="Times New Roman"/>
          <w:sz w:val="24"/>
          <w:szCs w:val="24"/>
        </w:rPr>
      </w:pPr>
      <w:r>
        <w:rPr>
          <w:rFonts w:ascii="Times New Roman" w:hAnsi="Times New Roman" w:cs="Times New Roman"/>
          <w:sz w:val="24"/>
          <w:szCs w:val="24"/>
        </w:rPr>
        <w:t>18</w:t>
      </w:r>
      <w:r w:rsidR="00C14D46" w:rsidRPr="00B8262D">
        <w:rPr>
          <w:rFonts w:ascii="Times New Roman" w:hAnsi="Times New Roman" w:cs="Times New Roman"/>
          <w:sz w:val="24"/>
          <w:szCs w:val="24"/>
        </w:rPr>
        <w:t>.</w:t>
      </w:r>
      <w:r>
        <w:rPr>
          <w:rFonts w:ascii="Times New Roman" w:hAnsi="Times New Roman" w:cs="Times New Roman"/>
          <w:sz w:val="24"/>
          <w:szCs w:val="24"/>
        </w:rPr>
        <w:t xml:space="preserve"> </w:t>
      </w:r>
      <w:r w:rsidR="00C14D46" w:rsidRPr="00B8262D">
        <w:rPr>
          <w:rFonts w:ascii="Times New Roman" w:hAnsi="Times New Roman" w:cs="Times New Roman"/>
          <w:sz w:val="24"/>
          <w:szCs w:val="24"/>
        </w:rPr>
        <w:t>Powód Władysław O. złożył przeciwko Zbigniewowi Z., pozew o zapłatę kwoty 10.000 zł. Sąd po przeprowadzeniu rozprawy, wydał wyrok, w którego punkcie I zasądził od pozwanego na rzecz powoda kwotę 5.000 zł z, a w punkcie II orzekł w przedmiocie kosztów procesu.  Po kilku dniach, sędzia zauważył niekompletność orzeczenia, w związku z czym na posiedzeniu niejawnym Sąd wydał postanowienie o sprostowaniu oczywistej omyłki w wyroku, poprzez dopisanie punktu III o treści: „oddala powództwo w pozostałej części”. Czy postanowienie takiej treści jest prawidłowe?</w:t>
      </w:r>
    </w:p>
    <w:p w:rsidR="00C14D46" w:rsidRPr="00B8262D" w:rsidRDefault="00C14D46" w:rsidP="00C14D46">
      <w:pPr>
        <w:pStyle w:val="Tekstpodstawowy3"/>
        <w:rPr>
          <w:rFonts w:ascii="Times New Roman" w:hAnsi="Times New Roman" w:cs="Times New Roman"/>
          <w:sz w:val="24"/>
          <w:szCs w:val="24"/>
        </w:rPr>
      </w:pPr>
    </w:p>
    <w:p w:rsidR="00C14D46" w:rsidRPr="00B8262D" w:rsidRDefault="00C14D46" w:rsidP="00C14D46">
      <w:pPr>
        <w:pStyle w:val="Standard"/>
        <w:ind w:firstLine="708"/>
        <w:jc w:val="both"/>
        <w:rPr>
          <w:rFonts w:cs="Times New Roman"/>
          <w:b/>
          <w:bCs/>
          <w:lang w:val="de-DE"/>
        </w:rPr>
      </w:pPr>
    </w:p>
    <w:p w:rsidR="00C14D46" w:rsidRPr="00B8262D" w:rsidRDefault="00C14D46" w:rsidP="00C14D46">
      <w:pPr>
        <w:pStyle w:val="Standard"/>
        <w:jc w:val="both"/>
        <w:rPr>
          <w:rFonts w:cs="Times New Roman"/>
          <w:lang w:val="de-DE"/>
        </w:rPr>
      </w:pPr>
    </w:p>
    <w:p w:rsidR="00C14D46" w:rsidRPr="00B8262D" w:rsidRDefault="009C5471" w:rsidP="00C14D46">
      <w:pPr>
        <w:pStyle w:val="Tekstpodstawowy2"/>
        <w:rPr>
          <w:rFonts w:cs="Times New Roman"/>
          <w:iCs w:val="0"/>
        </w:rPr>
      </w:pPr>
      <w:r>
        <w:rPr>
          <w:rFonts w:cs="Times New Roman"/>
          <w:iCs w:val="0"/>
        </w:rPr>
        <w:t>19</w:t>
      </w:r>
      <w:r w:rsidR="00C14D46" w:rsidRPr="00B8262D">
        <w:rPr>
          <w:rFonts w:cs="Times New Roman"/>
          <w:iCs w:val="0"/>
        </w:rPr>
        <w:t xml:space="preserve">. Po trzecim terminie rozprawy w sprawie z powództwa </w:t>
      </w:r>
      <w:r w:rsidR="00970FD7">
        <w:rPr>
          <w:rFonts w:cs="Times New Roman"/>
          <w:iCs w:val="0"/>
        </w:rPr>
        <w:t>Karola Kowalskiego</w:t>
      </w:r>
      <w:r w:rsidR="00C14D46" w:rsidRPr="00B8262D">
        <w:rPr>
          <w:rFonts w:cs="Times New Roman"/>
          <w:iCs w:val="0"/>
        </w:rPr>
        <w:t xml:space="preserve"> przeciwko </w:t>
      </w:r>
      <w:r w:rsidR="00970FD7">
        <w:rPr>
          <w:rFonts w:cs="Times New Roman"/>
          <w:iCs w:val="0"/>
        </w:rPr>
        <w:t>Wojciechowi Wiśniewskiemu</w:t>
      </w:r>
      <w:r w:rsidR="00C14D46" w:rsidRPr="00B8262D">
        <w:rPr>
          <w:rFonts w:cs="Times New Roman"/>
          <w:iCs w:val="0"/>
        </w:rPr>
        <w:t xml:space="preserve"> o zapłatę</w:t>
      </w:r>
      <w:r w:rsidR="00970FD7">
        <w:rPr>
          <w:rFonts w:cs="Times New Roman"/>
          <w:iCs w:val="0"/>
        </w:rPr>
        <w:t xml:space="preserve"> kwoty 60.000 złotych, pozwany Wojciech Wiśniewski złożył</w:t>
      </w:r>
      <w:r w:rsidR="00C14D46" w:rsidRPr="00B8262D">
        <w:rPr>
          <w:rFonts w:cs="Times New Roman"/>
          <w:iCs w:val="0"/>
        </w:rPr>
        <w:t xml:space="preserve"> pismo proces</w:t>
      </w:r>
      <w:r w:rsidR="00970FD7">
        <w:rPr>
          <w:rFonts w:cs="Times New Roman"/>
          <w:iCs w:val="0"/>
        </w:rPr>
        <w:t>owe - pozew wzajemny przeciwko Karolowi Kowalskiemu</w:t>
      </w:r>
      <w:r w:rsidR="00C14D46" w:rsidRPr="00B8262D">
        <w:rPr>
          <w:rFonts w:cs="Times New Roman"/>
          <w:iCs w:val="0"/>
        </w:rPr>
        <w:t>, żądając zasądzenia</w:t>
      </w:r>
      <w:r w:rsidR="00970FD7">
        <w:rPr>
          <w:rFonts w:cs="Times New Roman"/>
          <w:iCs w:val="0"/>
        </w:rPr>
        <w:t xml:space="preserve"> od niego na swoją rzecz kwoty</w:t>
      </w:r>
      <w:r w:rsidR="00C14D46" w:rsidRPr="00B8262D">
        <w:rPr>
          <w:rFonts w:cs="Times New Roman"/>
          <w:iCs w:val="0"/>
        </w:rPr>
        <w:t xml:space="preserve"> 40.000 złotych. Czy złożenie powództwa wzajemnego jest skuteczne? Jak dalej będzie przebiegać postępowanie w tej sprawie?</w:t>
      </w:r>
    </w:p>
    <w:p w:rsidR="00C14D46" w:rsidRPr="00B8262D" w:rsidRDefault="00C14D46" w:rsidP="00C14D46">
      <w:pPr>
        <w:pStyle w:val="Tekstpodstawowy2"/>
        <w:rPr>
          <w:rFonts w:cs="Times New Roman"/>
          <w:iCs w:val="0"/>
        </w:rPr>
      </w:pPr>
    </w:p>
    <w:p w:rsidR="00C14D46" w:rsidRPr="00B8262D" w:rsidRDefault="00C14D46" w:rsidP="00C14D46">
      <w:pPr>
        <w:pStyle w:val="Tekstpodstawowy2"/>
        <w:rPr>
          <w:rFonts w:cs="Times New Roman"/>
          <w:iCs w:val="0"/>
        </w:rPr>
      </w:pPr>
      <w:bookmarkStart w:id="0" w:name="_GoBack"/>
      <w:bookmarkEnd w:id="0"/>
    </w:p>
    <w:p w:rsidR="00C14D46" w:rsidRPr="00B8262D" w:rsidRDefault="00C14D46" w:rsidP="00C14D46">
      <w:pPr>
        <w:pStyle w:val="Tekstpodstawowy2"/>
        <w:rPr>
          <w:rFonts w:cs="Times New Roman"/>
        </w:rPr>
      </w:pPr>
    </w:p>
    <w:p w:rsidR="00C14D46" w:rsidRPr="00B8262D" w:rsidRDefault="00C14D46">
      <w:pPr>
        <w:rPr>
          <w:rFonts w:ascii="Times New Roman" w:hAnsi="Times New Roman" w:cs="Times New Roman"/>
          <w:sz w:val="24"/>
          <w:szCs w:val="24"/>
        </w:rPr>
      </w:pPr>
    </w:p>
    <w:sectPr w:rsidR="00C14D46" w:rsidRPr="00B8262D">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Tahoma">
    <w:panose1 w:val="020B0604030504040204"/>
    <w:charset w:val="EE"/>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22A5678"/>
    <w:multiLevelType w:val="multilevel"/>
    <w:tmpl w:val="F18AFAA2"/>
    <w:styleLink w:val="WW8Num3"/>
    <w:lvl w:ilvl="0">
      <w:start w:val="1"/>
      <w:numFmt w:val="decimal"/>
      <w:lvlText w:val="%1."/>
      <w:lvlJc w:val="left"/>
      <w:pPr>
        <w:ind w:left="720" w:hanging="360"/>
      </w:pPr>
    </w:lvl>
    <w:lvl w:ilvl="1">
      <w:numFmt w:val="bullet"/>
      <w:lvlText w:val="-"/>
      <w:lvlJc w:val="left"/>
      <w:pPr>
        <w:ind w:left="1440" w:hanging="360"/>
      </w:pPr>
      <w:rPr>
        <w:rFonts w:ascii="Times New Roman" w:hAnsi="Times New Roman" w:cs="Times New Roman"/>
      </w:rPr>
    </w:lvl>
    <w:lvl w:ilvl="2">
      <w:start w:val="1"/>
      <w:numFmt w:val="lowerRoman"/>
      <w:lvlText w:val="%3."/>
      <w:lvlJc w:val="lef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lef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lef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14D46"/>
    <w:rsid w:val="00022FD9"/>
    <w:rsid w:val="00315B31"/>
    <w:rsid w:val="008361E7"/>
    <w:rsid w:val="00970FD7"/>
    <w:rsid w:val="009C5471"/>
    <w:rsid w:val="00A74795"/>
    <w:rsid w:val="00B8262D"/>
    <w:rsid w:val="00C14D46"/>
    <w:rsid w:val="00C70A7C"/>
    <w:rsid w:val="00D74AC6"/>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EC085D"/>
  <w15:chartTrackingRefBased/>
  <w15:docId w15:val="{4B7FA828-CC2D-4E7C-ACF8-9933C135F5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style>
  <w:style w:type="paragraph" w:styleId="Nagwek1">
    <w:name w:val="heading 1"/>
    <w:basedOn w:val="Standard"/>
    <w:next w:val="Standard"/>
    <w:link w:val="Nagwek1Znak"/>
    <w:rsid w:val="00C14D46"/>
    <w:pPr>
      <w:keepNext/>
      <w:jc w:val="both"/>
      <w:outlineLvl w:val="0"/>
    </w:pPr>
    <w:rPr>
      <w:b/>
      <w:bCs/>
      <w:szCs w:val="20"/>
    </w:rPr>
  </w:style>
  <w:style w:type="paragraph" w:styleId="Nagwek2">
    <w:name w:val="heading 2"/>
    <w:basedOn w:val="Normalny"/>
    <w:next w:val="Normalny"/>
    <w:link w:val="Nagwek2Znak"/>
    <w:uiPriority w:val="9"/>
    <w:unhideWhenUsed/>
    <w:qFormat/>
    <w:rsid w:val="00C14D46"/>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rsid w:val="00C14D46"/>
    <w:rPr>
      <w:rFonts w:ascii="Times New Roman" w:eastAsia="SimSun" w:hAnsi="Times New Roman" w:cs="Arial"/>
      <w:b/>
      <w:bCs/>
      <w:kern w:val="3"/>
      <w:sz w:val="24"/>
      <w:szCs w:val="20"/>
      <w:lang w:eastAsia="zh-CN" w:bidi="hi-IN"/>
    </w:rPr>
  </w:style>
  <w:style w:type="paragraph" w:customStyle="1" w:styleId="Standard">
    <w:name w:val="Standard"/>
    <w:rsid w:val="00C14D46"/>
    <w:pPr>
      <w:widowControl w:val="0"/>
      <w:suppressAutoHyphens/>
      <w:autoSpaceDN w:val="0"/>
      <w:spacing w:after="0" w:line="240" w:lineRule="auto"/>
      <w:textAlignment w:val="baseline"/>
    </w:pPr>
    <w:rPr>
      <w:rFonts w:ascii="Times New Roman" w:eastAsia="SimSun" w:hAnsi="Times New Roman" w:cs="Arial"/>
      <w:kern w:val="3"/>
      <w:sz w:val="24"/>
      <w:szCs w:val="24"/>
      <w:lang w:eastAsia="zh-CN" w:bidi="hi-IN"/>
    </w:rPr>
  </w:style>
  <w:style w:type="paragraph" w:styleId="Tekstpodstawowy2">
    <w:name w:val="Body Text 2"/>
    <w:basedOn w:val="Standard"/>
    <w:link w:val="Tekstpodstawowy2Znak"/>
    <w:rsid w:val="00C14D46"/>
    <w:pPr>
      <w:jc w:val="both"/>
    </w:pPr>
    <w:rPr>
      <w:iCs/>
    </w:rPr>
  </w:style>
  <w:style w:type="character" w:customStyle="1" w:styleId="Tekstpodstawowy2Znak">
    <w:name w:val="Tekst podstawowy 2 Znak"/>
    <w:basedOn w:val="Domylnaczcionkaakapitu"/>
    <w:link w:val="Tekstpodstawowy2"/>
    <w:rsid w:val="00C14D46"/>
    <w:rPr>
      <w:rFonts w:ascii="Times New Roman" w:eastAsia="SimSun" w:hAnsi="Times New Roman" w:cs="Arial"/>
      <w:iCs/>
      <w:kern w:val="3"/>
      <w:sz w:val="24"/>
      <w:szCs w:val="24"/>
      <w:lang w:eastAsia="zh-CN" w:bidi="hi-IN"/>
    </w:rPr>
  </w:style>
  <w:style w:type="character" w:customStyle="1" w:styleId="Nagwek2Znak">
    <w:name w:val="Nagłówek 2 Znak"/>
    <w:basedOn w:val="Domylnaczcionkaakapitu"/>
    <w:link w:val="Nagwek2"/>
    <w:uiPriority w:val="9"/>
    <w:rsid w:val="00C14D46"/>
    <w:rPr>
      <w:rFonts w:asciiTheme="majorHAnsi" w:eastAsiaTheme="majorEastAsia" w:hAnsiTheme="majorHAnsi" w:cstheme="majorBidi"/>
      <w:color w:val="2E74B5" w:themeColor="accent1" w:themeShade="BF"/>
      <w:sz w:val="26"/>
      <w:szCs w:val="26"/>
    </w:rPr>
  </w:style>
  <w:style w:type="paragraph" w:styleId="Tekstpodstawowy3">
    <w:name w:val="Body Text 3"/>
    <w:basedOn w:val="Normalny"/>
    <w:link w:val="Tekstpodstawowy3Znak"/>
    <w:uiPriority w:val="99"/>
    <w:semiHidden/>
    <w:unhideWhenUsed/>
    <w:rsid w:val="00C14D46"/>
    <w:pPr>
      <w:spacing w:after="120"/>
    </w:pPr>
    <w:rPr>
      <w:sz w:val="16"/>
      <w:szCs w:val="16"/>
    </w:rPr>
  </w:style>
  <w:style w:type="character" w:customStyle="1" w:styleId="Tekstpodstawowy3Znak">
    <w:name w:val="Tekst podstawowy 3 Znak"/>
    <w:basedOn w:val="Domylnaczcionkaakapitu"/>
    <w:link w:val="Tekstpodstawowy3"/>
    <w:uiPriority w:val="99"/>
    <w:semiHidden/>
    <w:rsid w:val="00C14D46"/>
    <w:rPr>
      <w:sz w:val="16"/>
      <w:szCs w:val="16"/>
    </w:rPr>
  </w:style>
  <w:style w:type="paragraph" w:customStyle="1" w:styleId="Textbody">
    <w:name w:val="Text body"/>
    <w:basedOn w:val="Standard"/>
    <w:rsid w:val="00C14D46"/>
    <w:pPr>
      <w:spacing w:after="120"/>
    </w:pPr>
  </w:style>
  <w:style w:type="numbering" w:customStyle="1" w:styleId="WW8Num3">
    <w:name w:val="WW8Num3"/>
    <w:basedOn w:val="Bezlisty"/>
    <w:rsid w:val="00C14D46"/>
    <w:pPr>
      <w:numPr>
        <w:numId w:val="1"/>
      </w:numPr>
    </w:pPr>
  </w:style>
  <w:style w:type="paragraph" w:styleId="Tekstdymka">
    <w:name w:val="Balloon Text"/>
    <w:basedOn w:val="Normalny"/>
    <w:link w:val="TekstdymkaZnak"/>
    <w:uiPriority w:val="99"/>
    <w:semiHidden/>
    <w:unhideWhenUsed/>
    <w:rsid w:val="008361E7"/>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8361E7"/>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5ABB909-6B1A-4D1C-86A0-E28342F522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1830</Words>
  <Characters>10985</Characters>
  <Application>Microsoft Office Word</Application>
  <DocSecurity>0</DocSecurity>
  <Lines>91</Lines>
  <Paragraphs>25</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12790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Żurek Marek</dc:creator>
  <cp:keywords/>
  <dc:description/>
  <cp:lastModifiedBy>Żurek Marek</cp:lastModifiedBy>
  <cp:revision>3</cp:revision>
  <cp:lastPrinted>2025-05-15T11:13:00Z</cp:lastPrinted>
  <dcterms:created xsi:type="dcterms:W3CDTF">2025-05-15T11:23:00Z</dcterms:created>
  <dcterms:modified xsi:type="dcterms:W3CDTF">2025-05-15T11:23:00Z</dcterms:modified>
</cp:coreProperties>
</file>